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00" w:lineRule="atLeast"/>
        <w:ind w:left="0" w:right="0" w:firstLine="0"/>
        <w:jc w:val="righ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December 2019</w:t>
      </w: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drawing xmlns:a="http://schemas.openxmlformats.org/drawingml/2006/main">
          <wp:inline distT="0" distB="0" distL="0" distR="0">
            <wp:extent cx="5080000" cy="127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KTmiWIh_bGYq0l0EiXWYtqPyt27x_4TZoB7NIS9d3igWaCORqegKqZvmtumhQFYvO_3e6PYLB2edZwdVe6IDCnA27CZSC_9Y77U4CVPmCiSmt8jfAiTADpHeIW2zZ0qHxqyyrYuh.jp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40" w:lineRule="atLeast"/>
        <w:ind w:left="0" w:right="0" w:firstLine="0"/>
        <w:jc w:val="center"/>
        <w:rPr>
          <w:rFonts w:ascii="Times Roman" w:cs="Times Roman" w:hAnsi="Times Roman" w:eastAsia="Times Roman"/>
          <w:b w:val="0"/>
          <w:bCs w:val="0"/>
          <w:sz w:val="24"/>
          <w:szCs w:val="24"/>
          <w:shd w:val="clear" w:color="auto" w:fill="ffffff"/>
          <w:rtl w:val="0"/>
        </w:rPr>
      </w:pPr>
      <w:r>
        <w:rPr>
          <w:rFonts w:ascii="Arial" w:hAnsi="Arial"/>
          <w:b w:val="1"/>
          <w:bCs w:val="1"/>
          <w:sz w:val="32"/>
          <w:szCs w:val="32"/>
          <w:shd w:val="clear" w:color="auto" w:fill="ffffff"/>
          <w:rtl w:val="0"/>
          <w:lang w:val="en-US"/>
        </w:rPr>
        <w:t>Suggested Tweets for HIP Partners focused on the Social Franchising brief</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center"/>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Quick Content! All Suggested Tweets Ready to be Posted</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nl-NL"/>
        </w:rPr>
        <w:t>Tweet me!</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748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Fonts w:ascii="Times Roman" w:cs="Times Roman" w:hAnsi="Times Roman" w:eastAsia="Times Roman"/>
                <w:sz w:val="24"/>
                <w:szCs w:val="24"/>
                <w:rtl w:val="0"/>
              </w:rPr>
            </w:pPr>
            <w:r>
              <w:rPr>
                <w:rFonts w:ascii="Arial" w:hAnsi="Arial"/>
                <w:sz w:val="29"/>
                <w:szCs w:val="29"/>
                <w:rtl w:val="0"/>
                <w:lang w:val="en-US"/>
              </w:rPr>
              <w:t>Even though private providers are a common source of #familyplanning services,</w:t>
            </w:r>
          </w:p>
          <w:p>
            <w:pPr>
              <w:pStyle w:val="Table Style 2"/>
              <w:bidi w:val="0"/>
              <w:spacing w:line="340" w:lineRule="atLeast"/>
              <w:ind w:left="0" w:right="0" w:firstLine="0"/>
              <w:jc w:val="left"/>
              <w:rPr>
                <w:rStyle w:val="None"/>
                <w:rFonts w:ascii="Times Roman" w:cs="Times Roman" w:hAnsi="Times Roman" w:eastAsia="Times Roman"/>
                <w:sz w:val="24"/>
                <w:szCs w:val="24"/>
                <w:rtl w:val="0"/>
              </w:rPr>
            </w:pPr>
            <w:r>
              <w:rPr>
                <w:rFonts w:ascii="Arial" w:hAnsi="Arial"/>
                <w:sz w:val="29"/>
                <w:szCs w:val="29"/>
                <w:rtl w:val="0"/>
                <w:lang w:val="en-US"/>
              </w:rPr>
              <w:t xml:space="preserve">many do not offer a full range of methods. Social franchising can change that, with better outcomes for everyone.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"https://www.fphighimpactpractices.org/briefs/social-franchising/"</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https://www.fphighimpactpractices.org/briefs/social-franchising/</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p>
            <w:pPr>
              <w:pStyle w:val="Table Style 2"/>
              <w:bidi w:val="0"/>
              <w:spacing w:line="280" w:lineRule="atLeast"/>
              <w:ind w:left="0" w:right="0" w:firstLine="0"/>
              <w:jc w:val="left"/>
              <w:rPr>
                <w:rFonts w:ascii="Times Roman" w:cs="Times Roman" w:hAnsi="Times Roman" w:eastAsia="Times Roman"/>
                <w:sz w:val="24"/>
                <w:szCs w:val="24"/>
                <w:rtl w:val="0"/>
              </w:rPr>
            </w:pPr>
          </w:p>
          <w:p>
            <w:pPr>
              <w:pStyle w:val="Table Style 2"/>
              <w:bidi w:val="0"/>
              <w:spacing w:line="340" w:lineRule="atLeast"/>
              <w:ind w:left="0" w:right="0" w:firstLine="0"/>
              <w:jc w:val="left"/>
              <w:rPr>
                <w:rtl w:val="0"/>
              </w:rPr>
            </w:pPr>
            <w:r>
              <w:rPr>
                <w:rFonts w:ascii="Arial" w:cs="Arial" w:hAnsi="Arial" w:eastAsia="Arial"/>
                <w:sz w:val="29"/>
                <w:szCs w:val="29"/>
                <w:rtl w:val="0"/>
              </w:rPr>
              <w:drawing xmlns:a="http://schemas.openxmlformats.org/drawingml/2006/main">
                <wp:inline distT="0" distB="0" distL="0" distR="0">
                  <wp:extent cx="5752095" cy="344182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gKegf-NCHvIWt__t_gb2dF9l7jlvVkEt9wVSxmI3WcllJmt-O_PENUCqIA9_pEkDtxlJhpQ2o-6LzgGFC5cq0cFLT7aJmqORWKnUjyZSC4rq17gyqD9mr5BeVWV8V44oIdFvB1i.jpg"/>
                          <pic:cNvPicPr>
                            <a:picLocks noChangeAspect="1"/>
                          </pic:cNvPicPr>
                        </pic:nvPicPr>
                        <pic:blipFill>
                          <a:blip r:embed="rId5">
                            <a:extLst/>
                          </a:blip>
                          <a:stretch>
                            <a:fillRect/>
                          </a:stretch>
                        </pic:blipFill>
                        <pic:spPr>
                          <a:xfrm>
                            <a:off x="0" y="0"/>
                            <a:ext cx="5752095" cy="3441828"/>
                          </a:xfrm>
                          <a:prstGeom prst="rect">
                            <a:avLst/>
                          </a:prstGeom>
                          <a:ln w="12700" cap="flat">
                            <a:noFill/>
                            <a:miter lim="400000"/>
                          </a:ln>
                          <a:effectLst/>
                        </pic:spPr>
                      </pic:pic>
                    </a:graphicData>
                  </a:graphic>
                </wp:inline>
              </w:drawing>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lang w:val="en-US"/>
              </w:rPr>
              <w:t xml:space="preserve">This month, we observe #HumanRightsDay. Increasing equity in health and #familyplanning is a crucial part of achieving human rights for all.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"https://www.fphighimpactpractices.org/wp-content/uploads/2019/10/HIP-Equity-Discussion-Paper.pdf"</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https://www.fphighimpactpractices.org/wp-content/uploads/2019/10/HIP-Equity-Discussion-Paper.pdf</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en-US"/>
              </w:rPr>
              <w:t xml:space="preserve"> #StandUp4HumanRights #HIPs4FP</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Looking for a High Impact Practice to improve quality AND expand #familyplanning choice in the private sector? Learn more about social franchising, where providers network under a common brand: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"https://www.fphighimpactpractices.org/briefs/social-franchising/"</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https://www.fphighimpactpractices.org/briefs/social-franchising/</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tc>
      </w:tr>
      <w:tr>
        <w:tblPrEx>
          <w:shd w:val="clear" w:color="auto" w:fill="auto"/>
        </w:tblPrEx>
        <w:trPr>
          <w:trHeight w:val="8402"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Style w:val="None"/>
                <w:rFonts w:ascii="Times Roman" w:cs="Times Roman" w:hAnsi="Times Roman" w:eastAsia="Times Roman"/>
                <w:sz w:val="24"/>
                <w:szCs w:val="24"/>
                <w:rtl w:val="0"/>
              </w:rPr>
            </w:pPr>
            <w:r>
              <w:rPr>
                <w:rFonts w:ascii="Arial" w:hAnsi="Arial"/>
                <w:sz w:val="29"/>
                <w:szCs w:val="29"/>
                <w:rtl w:val="0"/>
                <w:lang w:val="en-US"/>
              </w:rPr>
              <w:t xml:space="preserve">Social franchising for #familyplanning benefits not only clients, but providers too. Clinics in Myanmar and Vietnam saw an increase of approximately 40% after joining a network. Learn more about this promising high-impact practice: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"https://www.fphighimpactpractices.org/briefs/social-franchising/"</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https://www.fphighimpactpractices.org/briefs/social-franchising/</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p>
            <w:pPr>
              <w:pStyle w:val="Table Style 2"/>
              <w:bidi w:val="0"/>
              <w:spacing w:line="280" w:lineRule="atLeast"/>
              <w:ind w:left="0" w:right="0" w:firstLine="0"/>
              <w:jc w:val="left"/>
              <w:rPr>
                <w:rFonts w:ascii="Times Roman" w:cs="Times Roman" w:hAnsi="Times Roman" w:eastAsia="Times Roman"/>
                <w:sz w:val="24"/>
                <w:szCs w:val="24"/>
                <w:rtl w:val="0"/>
              </w:rPr>
            </w:pPr>
          </w:p>
          <w:p>
            <w:pPr>
              <w:pStyle w:val="Table Style 2"/>
              <w:bidi w:val="0"/>
              <w:spacing w:line="400" w:lineRule="atLeast"/>
              <w:ind w:left="0" w:right="0" w:firstLine="0"/>
              <w:jc w:val="left"/>
              <w:rPr>
                <w:rtl w:val="0"/>
              </w:rPr>
            </w:pPr>
            <w:r>
              <w:rPr>
                <w:rFonts w:ascii="Arial" w:cs="Arial" w:hAnsi="Arial" w:eastAsia="Arial"/>
                <w:sz w:val="29"/>
                <w:szCs w:val="29"/>
                <w:rtl w:val="0"/>
              </w:rPr>
              <w:drawing xmlns:a="http://schemas.openxmlformats.org/drawingml/2006/main">
                <wp:inline distT="0" distB="0" distL="0" distR="0">
                  <wp:extent cx="5752095" cy="383473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gY9tBcq3UJ_E8J_TplIZLOHgmxDYq9m0AhUf0PUPTIaHXby3WPk7EWiy9GrxoDacmB5E0IWKvUhXwbVFA4PD4rYMOV1fF1D5HxFLEP2RLq_waApxjQieldoNaNq9EYGYiHKV5zxP.jpg"/>
                          <pic:cNvPicPr>
                            <a:picLocks noChangeAspect="1"/>
                          </pic:cNvPicPr>
                        </pic:nvPicPr>
                        <pic:blipFill>
                          <a:blip r:embed="rId6">
                            <a:extLst/>
                          </a:blip>
                          <a:stretch>
                            <a:fillRect/>
                          </a:stretch>
                        </pic:blipFill>
                        <pic:spPr>
                          <a:xfrm>
                            <a:off x="0" y="0"/>
                            <a:ext cx="5752095" cy="3834730"/>
                          </a:xfrm>
                          <a:prstGeom prst="rect">
                            <a:avLst/>
                          </a:prstGeom>
                          <a:ln w="12700" cap="flat">
                            <a:noFill/>
                            <a:miter lim="400000"/>
                          </a:ln>
                          <a:effectLst/>
                        </pic:spPr>
                      </pic:pic>
                    </a:graphicData>
                  </a:graphic>
                </wp:inline>
              </w:drawing>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In Kenya and Madagascar, social franchising helped private providers incorporate adolescent-friendly contraceptive services. Including youth in marketing strategies can increase #familyplanning use and expand the method mix.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"https://www.fphighimpactpractices.org/briefs/social-franchising/"</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https://www.fphighimpactpractices.org/briefs/social-franchising/</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Universal Health Coverage Day may have passed, but #HealthforAll requires year-round effort. Social franchising helps connect independent private providers with public health systems in support of goals like #UHC.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"https://www.fphighimpactpractices.org/briefs/social-franchising/"</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https://www.fphighimpactpractices.org/briefs/social-franchising/</w:t>
            </w:r>
            <w:r>
              <w:rPr>
                <w:rFonts w:ascii="Arial" w:cs="Arial" w:hAnsi="Arial" w:eastAsia="Arial"/>
                <w:sz w:val="29"/>
                <w:szCs w:val="29"/>
                <w:rtl w:val="0"/>
              </w:rPr>
              <w:fldChar w:fldCharType="end" w:fldLock="0"/>
            </w:r>
            <w:r>
              <w:rPr>
                <w:rFonts w:ascii="Arial" w:hAnsi="Arial"/>
                <w:sz w:val="29"/>
                <w:szCs w:val="29"/>
                <w:rtl w:val="0"/>
                <w:lang w:val="en-US"/>
              </w:rPr>
              <w:t xml:space="preserve"> #UHCDay #HIPs4FP</w:t>
            </w:r>
          </w:p>
        </w:tc>
      </w:tr>
      <w:tr>
        <w:tblPrEx>
          <w:shd w:val="clear" w:color="auto" w:fill="auto"/>
        </w:tblPrEx>
        <w:trPr>
          <w:trHeight w:val="1016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outline w:val="0"/>
                <w:color w:val="000000"/>
                <w:sz w:val="24"/>
                <w:szCs w:val="24"/>
                <w:u w:val="none"/>
                <w:rtl w:val="0"/>
                <w14:textFill>
                  <w14:solidFill>
                    <w14:srgbClr w14:val="000000"/>
                  </w14:solidFill>
                </w14:textFill>
              </w:rPr>
            </w:pPr>
            <w:r>
              <w:rPr>
                <w:rStyle w:val="None"/>
                <w:rFonts w:ascii="Arial" w:hAnsi="Arial"/>
                <w:outline w:val="0"/>
                <w:color w:val="000000"/>
                <w:sz w:val="29"/>
                <w:szCs w:val="29"/>
                <w:u w:val="none"/>
                <w:rtl w:val="0"/>
                <w:lang w:val="en-US"/>
                <w14:textFill>
                  <w14:solidFill>
                    <w14:srgbClr w14:val="000000"/>
                  </w14:solidFill>
                </w14:textFill>
              </w:rPr>
              <w:t xml:space="preserve">APPLY TODAY! Join the work of the #HIPs4FP partnership. Learn more: </w:t>
            </w: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"https://www.fphighimpactpractices.org/hip-technical-expert-application-form/"</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https://www.fphighimpactpractices.org/hip-technical-expert-application-form/</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hint="default"/>
                <w:outline w:val="0"/>
                <w:color w:val="000000"/>
                <w:sz w:val="29"/>
                <w:szCs w:val="29"/>
                <w:u w:val="none"/>
                <w:rtl w:val="0"/>
                <w14:textFill>
                  <w14:solidFill>
                    <w14:srgbClr w14:val="000000"/>
                  </w14:solidFill>
                </w14:textFill>
              </w:rPr>
              <w:t> </w:t>
            </w:r>
          </w:p>
          <w:p>
            <w:pPr>
              <w:pStyle w:val="Table Style 2"/>
              <w:bidi w:val="0"/>
              <w:spacing w:line="340" w:lineRule="atLeast"/>
              <w:ind w:left="0" w:right="0" w:firstLine="0"/>
              <w:jc w:val="left"/>
              <w:rPr>
                <w:rtl w:val="0"/>
              </w:rPr>
            </w:pPr>
            <w:r>
              <w:rPr>
                <w:rFonts w:ascii="Arial" w:cs="Arial" w:hAnsi="Arial" w:eastAsia="Arial"/>
                <w:sz w:val="29"/>
                <w:szCs w:val="29"/>
                <w:rtl w:val="0"/>
              </w:rPr>
              <w:drawing xmlns:a="http://schemas.openxmlformats.org/drawingml/2006/main">
                <wp:inline distT="0" distB="0" distL="0" distR="0">
                  <wp:extent cx="5752095" cy="575209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Hg0-Uh7-r0xUPirDyMtfyAY5w4aOVheOU91_Wa6hwWlmfIgL3svhX5wtljz_Oh0IcCxx1FOudo_YJz3A2WsVUZk5e1eG55JmZnk2zgiG0fLw6n2HiSN4OlU50uVO39qOvedxUzT7.png"/>
                          <pic:cNvPicPr>
                            <a:picLocks noChangeAspect="1"/>
                          </pic:cNvPicPr>
                        </pic:nvPicPr>
                        <pic:blipFill>
                          <a:blip r:embed="rId7">
                            <a:extLst/>
                          </a:blip>
                          <a:stretch>
                            <a:fillRect/>
                          </a:stretch>
                        </pic:blipFill>
                        <pic:spPr>
                          <a:xfrm>
                            <a:off x="0" y="0"/>
                            <a:ext cx="5752095" cy="5752095"/>
                          </a:xfrm>
                          <a:prstGeom prst="rect">
                            <a:avLst/>
                          </a:prstGeom>
                          <a:ln w="12700" cap="flat">
                            <a:noFill/>
                            <a:miter lim="400000"/>
                          </a:ln>
                          <a:effectLst/>
                        </pic:spPr>
                      </pic:pic>
                    </a:graphicData>
                  </a:graphic>
                </wp:inline>
              </w:drawing>
            </w:r>
          </w:p>
        </w:tc>
      </w:tr>
      <w:tr>
        <w:tblPrEx>
          <w:shd w:val="clear" w:color="auto" w:fill="auto"/>
        </w:tblPrEx>
        <w:trPr>
          <w:trHeight w:val="1050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rtl w:val="0"/>
              </w:rPr>
            </w:pPr>
            <w:r>
              <w:rPr>
                <w:rFonts w:ascii="Arial" w:hAnsi="Arial"/>
                <w:sz w:val="29"/>
                <w:szCs w:val="29"/>
                <w:rtl w:val="0"/>
                <w:lang w:val="en-US"/>
              </w:rPr>
              <w:t xml:space="preserve">Are you a #familyplanning expert? Are you interested in contributing to high impact practices for #familyplanning? We have an opportunity for you! #HIPs4FP Learn more: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"https://www.fphighimpactpractices.org/hip-technical-expert-application-form/"</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https://www.fphighimpactpractices.org/hip-technical-expert-application-form/</w:t>
            </w:r>
            <w:r>
              <w:rPr>
                <w:rFonts w:ascii="Arial" w:cs="Arial" w:hAnsi="Arial" w:eastAsia="Arial"/>
                <w:sz w:val="29"/>
                <w:szCs w:val="29"/>
                <w:rtl w:val="0"/>
              </w:rPr>
              <w:fldChar w:fldCharType="end" w:fldLock="0"/>
            </w:r>
          </w:p>
          <w:p>
            <w:pPr>
              <w:pStyle w:val="Table Style 2"/>
              <w:bidi w:val="0"/>
              <w:spacing w:line="340" w:lineRule="atLeast"/>
              <w:ind w:left="0" w:right="0" w:firstLine="0"/>
              <w:jc w:val="left"/>
              <w:rPr>
                <w:rtl w:val="0"/>
              </w:rPr>
            </w:pPr>
            <w:r>
              <w:rPr>
                <w:rFonts w:ascii="Arial" w:cs="Arial" w:hAnsi="Arial" w:eastAsia="Arial"/>
                <w:sz w:val="29"/>
                <w:szCs w:val="29"/>
                <w:rtl w:val="0"/>
              </w:rPr>
              <w:drawing xmlns:a="http://schemas.openxmlformats.org/drawingml/2006/main">
                <wp:inline distT="0" distB="0" distL="0" distR="0">
                  <wp:extent cx="5752095" cy="575209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Hg0-Uh7-r0xUPirDyMtfyAY5w4aOVheOU91_Wa6hwWlmfIgL3svhX5wtljz_Oh0IcCxx1FOudo_YJz3A2WsVUZk5e1eG55JmZnk2zgiG0fLw6n2HiSN4OlU50uVO39qOvedxUzT7.png"/>
                          <pic:cNvPicPr>
                            <a:picLocks noChangeAspect="1"/>
                          </pic:cNvPicPr>
                        </pic:nvPicPr>
                        <pic:blipFill>
                          <a:blip r:embed="rId7">
                            <a:extLst/>
                          </a:blip>
                          <a:stretch>
                            <a:fillRect/>
                          </a:stretch>
                        </pic:blipFill>
                        <pic:spPr>
                          <a:xfrm>
                            <a:off x="0" y="0"/>
                            <a:ext cx="5752095" cy="5752095"/>
                          </a:xfrm>
                          <a:prstGeom prst="rect">
                            <a:avLst/>
                          </a:prstGeom>
                          <a:ln w="12700" cap="flat">
                            <a:noFill/>
                            <a:miter lim="400000"/>
                          </a:ln>
                          <a:effectLst/>
                        </pic:spPr>
                      </pic:pic>
                    </a:graphicData>
                  </a:graphic>
                </wp:inline>
              </w:drawing>
            </w:r>
          </w:p>
        </w:tc>
      </w:tr>
    </w:tbl>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tl w:val="0"/>
        </w:rPr>
      </w:pPr>
      <w:r>
        <w:rPr>
          <w:rStyle w:val="None"/>
          <w:rFonts w:ascii="Times Roman" w:cs="Times Roman" w:hAnsi="Times Roman" w:eastAsia="Times Roman"/>
          <w:shd w:val="clear" w:color="auto" w:fill="ffffff"/>
          <w:rtl w:val="0"/>
        </w:rPr>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