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00" w:lineRule="atLeast"/>
        <w:ind w:left="0" w:right="0" w:firstLine="0"/>
        <w:jc w:val="right"/>
        <w:rPr>
          <w:rFonts w:ascii="Times" w:cs="Times" w:hAnsi="Times" w:eastAsia="Times"/>
          <w:sz w:val="24"/>
          <w:szCs w:val="24"/>
          <w:rtl w:val="0"/>
        </w:rPr>
      </w:pPr>
      <w:r>
        <w:rPr>
          <w:rFonts w:ascii="Arial" w:hAnsi="Arial"/>
          <w:sz w:val="29"/>
          <w:szCs w:val="29"/>
          <w:rtl w:val="0"/>
          <w:lang w:val="en-US"/>
        </w:rPr>
        <w:t>March 2020</w:t>
      </w:r>
    </w:p>
    <w:p>
      <w:pPr>
        <w:pStyle w:val="Default"/>
        <w:bidi w:val="0"/>
        <w:spacing w:line="400" w:lineRule="atLeast"/>
        <w:ind w:left="0" w:right="0" w:firstLine="0"/>
        <w:jc w:val="left"/>
        <w:rPr>
          <w:rFonts w:ascii="Times" w:cs="Times" w:hAnsi="Times" w:eastAsia="Times"/>
          <w:sz w:val="24"/>
          <w:szCs w:val="24"/>
          <w:rtl w:val="0"/>
        </w:rPr>
      </w:pPr>
      <w:r>
        <w:rPr>
          <w:rFonts w:ascii="Arial" w:cs="Arial" w:hAnsi="Arial" w:eastAsia="Arial"/>
          <w:sz w:val="29"/>
          <w:szCs w:val="29"/>
          <w:rtl w:val="0"/>
        </w:rPr>
        <w:drawing>
          <wp:inline distT="0" distB="0" distL="0" distR="0">
            <wp:extent cx="2174913" cy="54372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fahZwtZawjjYerrkIIIq9v7Ks8mSNnv1frWDctvNYv5TdGz3SSq73RDx3WQ5w4bbNBZCW7kiIJhUVGKLugmO33KePpBv9UNROVxnZ3Lb9Mtd_y26fnV4b0_ZN5PiTH06tTxBUjg.jpg"/>
                    <pic:cNvPicPr>
                      <a:picLocks noChangeAspect="1"/>
                    </pic:cNvPicPr>
                  </pic:nvPicPr>
                  <pic:blipFill>
                    <a:blip r:embed="rId4">
                      <a:extLst/>
                    </a:blip>
                    <a:stretch>
                      <a:fillRect/>
                    </a:stretch>
                  </pic:blipFill>
                  <pic:spPr>
                    <a:xfrm>
                      <a:off x="0" y="0"/>
                      <a:ext cx="2174913" cy="543729"/>
                    </a:xfrm>
                    <a:prstGeom prst="rect">
                      <a:avLst/>
                    </a:prstGeom>
                    <a:ln w="12700" cap="flat">
                      <a:noFill/>
                      <a:miter lim="400000"/>
                    </a:ln>
                    <a:effectLst/>
                  </pic:spPr>
                </pic:pic>
              </a:graphicData>
            </a:graphic>
          </wp:inline>
        </w:drawing>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40" w:lineRule="atLeast"/>
        <w:ind w:left="0" w:right="0" w:firstLine="0"/>
        <w:jc w:val="center"/>
        <w:rPr>
          <w:rFonts w:ascii="Times" w:cs="Times" w:hAnsi="Times" w:eastAsia="Times"/>
          <w:b w:val="0"/>
          <w:bCs w:val="0"/>
          <w:sz w:val="24"/>
          <w:szCs w:val="24"/>
          <w:rtl w:val="0"/>
        </w:rPr>
      </w:pPr>
      <w:r>
        <w:rPr>
          <w:rFonts w:ascii="Arial" w:hAnsi="Arial"/>
          <w:b w:val="1"/>
          <w:bCs w:val="1"/>
          <w:sz w:val="32"/>
          <w:szCs w:val="32"/>
          <w:rtl w:val="0"/>
          <w:lang w:val="en-US"/>
        </w:rPr>
        <w:t>Suggested Tweets for HIP Partners focused on the Discussion Paper on Equity</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00" w:lineRule="atLeast"/>
        <w:ind w:left="0" w:right="0" w:firstLine="0"/>
        <w:jc w:val="center"/>
        <w:rPr>
          <w:rFonts w:ascii="Times" w:cs="Times" w:hAnsi="Times" w:eastAsia="Times"/>
          <w:sz w:val="24"/>
          <w:szCs w:val="24"/>
          <w:rtl w:val="0"/>
        </w:rPr>
      </w:pPr>
      <w:r>
        <w:rPr>
          <w:rFonts w:ascii="Arial" w:hAnsi="Arial"/>
          <w:sz w:val="29"/>
          <w:szCs w:val="29"/>
          <w:rtl w:val="0"/>
          <w:lang w:val="en-US"/>
        </w:rPr>
        <w:t>Quick Content! All Suggested Tweets Ready to be Posted</w:t>
      </w:r>
      <w:r>
        <w:rPr>
          <w:rFonts w:ascii="Arial" w:hAnsi="Arial" w:hint="default"/>
          <w:sz w:val="29"/>
          <w:szCs w:val="29"/>
          <w:rtl w:val="0"/>
        </w:rPr>
        <w:t>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00" w:lineRule="atLeast"/>
        <w:ind w:left="0" w:right="0" w:firstLine="0"/>
        <w:jc w:val="left"/>
        <w:rPr>
          <w:rFonts w:ascii="Times" w:cs="Times" w:hAnsi="Times" w:eastAsia="Times"/>
          <w:sz w:val="24"/>
          <w:szCs w:val="24"/>
          <w:rtl w:val="0"/>
        </w:rPr>
      </w:pPr>
      <w:r>
        <w:rPr>
          <w:rFonts w:ascii="Arial" w:hAnsi="Arial"/>
          <w:sz w:val="29"/>
          <w:szCs w:val="29"/>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rtl w:val="0"/>
        </w:rPr>
        <w:t>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00" w:lineRule="atLeast"/>
        <w:ind w:left="0" w:right="0" w:firstLine="0"/>
        <w:jc w:val="left"/>
        <w:rPr>
          <w:rFonts w:ascii="Times" w:cs="Times" w:hAnsi="Times" w:eastAsia="Times"/>
          <w:b w:val="0"/>
          <w:bCs w:val="0"/>
          <w:sz w:val="24"/>
          <w:szCs w:val="24"/>
          <w:rtl w:val="0"/>
        </w:rPr>
      </w:pPr>
      <w:r>
        <w:rPr>
          <w:rFonts w:ascii="Arial" w:hAnsi="Arial"/>
          <w:b w:val="1"/>
          <w:bCs w:val="1"/>
          <w:sz w:val="29"/>
          <w:szCs w:val="29"/>
          <w:rtl w:val="0"/>
          <w:lang w:val="nl-NL"/>
        </w:rPr>
        <w:t>Tweet me!</w:t>
      </w:r>
    </w:p>
    <w:p>
      <w:pPr>
        <w:pStyle w:val="Default"/>
        <w:bidi w:val="0"/>
        <w:spacing w:line="280" w:lineRule="atLeast"/>
        <w:ind w:left="0" w:right="0" w:firstLine="0"/>
        <w:jc w:val="left"/>
        <w:rPr>
          <w:rFonts w:ascii="Times" w:cs="Times" w:hAnsi="Times" w:eastAsia="Times"/>
          <w:sz w:val="24"/>
          <w:szCs w:val="24"/>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7828"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rtl w:val="0"/>
              </w:rPr>
            </w:pPr>
            <w:r>
              <w:rPr>
                <w:rFonts w:ascii="Arial" w:hAnsi="Arial"/>
                <w:sz w:val="29"/>
                <w:szCs w:val="29"/>
                <w:rtl w:val="0"/>
                <w:lang w:val="en-US"/>
              </w:rPr>
              <w:t xml:space="preserve">The EQUITY framework developed by @HlthPolicyPlus can help reduce gaps in #familyplanning programming. Learn more: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"https://www.fphighimpactpractices.org/wp-content/uploads/2019/10/HIP-Equity-Discussion-Paper.pdf"</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https://www.fphighimpactpractices.org/wp-content/uploads/2019/10/HIP-Equity-Discussion-Paper.pdf</w:t>
            </w:r>
            <w:r>
              <w:rPr>
                <w:rFonts w:ascii="Arial" w:cs="Arial" w:hAnsi="Arial" w:eastAsia="Arial"/>
                <w:sz w:val="29"/>
                <w:szCs w:val="29"/>
                <w:rtl w:val="0"/>
              </w:rPr>
              <w:fldChar w:fldCharType="end" w:fldLock="0"/>
            </w:r>
            <w:r>
              <w:rPr>
                <w:rFonts w:ascii="Arial" w:hAnsi="Arial"/>
                <w:sz w:val="29"/>
                <w:szCs w:val="29"/>
                <w:rtl w:val="0"/>
                <w:lang w:val="de-DE"/>
              </w:rPr>
              <w:t xml:space="preserve"> #HIPs4FP</w:t>
            </w:r>
            <w:r>
              <w:rPr>
                <w:rFonts w:ascii="Arial" w:hAnsi="Arial" w:hint="default"/>
                <w:sz w:val="29"/>
                <w:szCs w:val="29"/>
                <w:rtl w:val="0"/>
              </w:rPr>
              <w:t> </w:t>
            </w:r>
          </w:p>
          <w:p>
            <w:pPr>
              <w:pStyle w:val="Table Style 2"/>
              <w:bidi w:val="0"/>
              <w:spacing w:line="340" w:lineRule="atLeast"/>
              <w:ind w:left="0" w:right="0" w:firstLine="0"/>
              <w:jc w:val="left"/>
              <w:rPr>
                <w:rtl w:val="0"/>
              </w:rPr>
            </w:pPr>
            <w:r>
              <w:rPr>
                <w:rFonts w:ascii="Arial" w:cs="Arial" w:hAnsi="Arial" w:eastAsia="Arial"/>
                <w:sz w:val="29"/>
                <w:szCs w:val="29"/>
                <w:rtl w:val="0"/>
              </w:rPr>
              <w:drawing>
                <wp:inline distT="0" distB="0" distL="0" distR="0">
                  <wp:extent cx="5752095" cy="40545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8_MzDc--NQXF2T-WodDNnLTN0pePJTI9xnkKxdMkDWs1HM_OzCBleqBgLp1_Yh3eitXmuofbYjvWt9-xWjCQp4DlKT5P4JfaYc7QRUnlnH40CKdzGzHbb0YYuO442QNwIPhd_AVA.jpg"/>
                          <pic:cNvPicPr>
                            <a:picLocks noChangeAspect="1"/>
                          </pic:cNvPicPr>
                        </pic:nvPicPr>
                        <pic:blipFill>
                          <a:blip r:embed="rId5">
                            <a:extLst/>
                          </a:blip>
                          <a:stretch>
                            <a:fillRect/>
                          </a:stretch>
                        </pic:blipFill>
                        <pic:spPr>
                          <a:xfrm>
                            <a:off x="0" y="0"/>
                            <a:ext cx="5752095" cy="4054556"/>
                          </a:xfrm>
                          <a:prstGeom prst="rect">
                            <a:avLst/>
                          </a:prstGeom>
                          <a:ln w="12700" cap="flat">
                            <a:noFill/>
                            <a:miter lim="400000"/>
                          </a:ln>
                          <a:effectLst/>
                        </pic:spPr>
                      </pic:pic>
                    </a:graphicData>
                  </a:graphic>
                </wp:inline>
              </w:drawing>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rtl w:val="0"/>
              </w:rPr>
            </w:pPr>
            <w:r>
              <w:rPr>
                <w:rFonts w:ascii="Arial" w:hAnsi="Arial"/>
                <w:sz w:val="29"/>
                <w:szCs w:val="29"/>
                <w:rtl w:val="0"/>
                <w:lang w:val="en-US"/>
              </w:rPr>
              <w:t>Read how the HIP Partnership is conceptualizing, defining, and measuring dimensions of equity for #familyplanning programs:</w:t>
            </w:r>
          </w:p>
          <w:p>
            <w:pPr>
              <w:pStyle w:val="Table Style 2"/>
              <w:bidi w:val="0"/>
              <w:spacing w:line="340" w:lineRule="atLeast"/>
              <w:ind w:left="0" w:right="0" w:firstLine="0"/>
              <w:jc w:val="left"/>
              <w:rPr>
                <w:rtl w:val="0"/>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"https://www.fphighimpactpractices.org/wp-content/uploads/2019/10/HIP-Equity-Discussion-Paper.pdf"</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https://www.fphighimpactpractices.org/wp-content/uploads/2019/10/HIP-Equity-Discussion-Paper.pdf</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rtl w:val="0"/>
                <w:lang w:val="de-DE"/>
                <w14:textFill>
                  <w14:solidFill>
                    <w14:srgbClr w14:val="000000"/>
                  </w14:solidFill>
                </w14:textFill>
              </w:rPr>
              <w:t xml:space="preserve"> #HIPs4FP</w:t>
            </w:r>
          </w:p>
        </w:tc>
      </w:tr>
      <w:tr>
        <w:tblPrEx>
          <w:shd w:val="clear" w:color="auto" w:fill="auto"/>
        </w:tblPrEx>
        <w:trPr>
          <w:trHeight w:val="11510"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rtl w:val="0"/>
              </w:rPr>
            </w:pPr>
            <w:r>
              <w:rPr>
                <w:rFonts w:ascii="Arial" w:hAnsi="Arial"/>
                <w:sz w:val="29"/>
                <w:szCs w:val="29"/>
                <w:rtl w:val="0"/>
                <w:lang w:val="en-US"/>
              </w:rPr>
              <w:t xml:space="preserve">Working towards equity in #familyplanning means understanding social determinants for health. @WHO developed a framework for this. Learn more: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"https://www.fphighimpactpractices.org/wp-content/uploads/2019/10/HIP-Equity-Discussion-Paper.pdf"</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https://www.fphighimpactpractices.org/wp-content/uploads/2019/10/HIP-Equity-Discussion-Paper.pdf</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p>
            <w:pPr>
              <w:pStyle w:val="Table Style 2"/>
              <w:bidi w:val="0"/>
              <w:spacing w:line="340" w:lineRule="atLeast"/>
              <w:ind w:left="0" w:right="0" w:firstLine="0"/>
              <w:jc w:val="left"/>
              <w:rPr>
                <w:rtl w:val="0"/>
              </w:rPr>
            </w:pPr>
            <w:r>
              <w:rPr>
                <w:rFonts w:ascii="Arial" w:cs="Arial" w:hAnsi="Arial" w:eastAsia="Arial"/>
                <w:sz w:val="29"/>
                <w:szCs w:val="29"/>
                <w:rtl w:val="0"/>
              </w:rPr>
              <w:drawing>
                <wp:inline distT="0" distB="0" distL="0" distR="0">
                  <wp:extent cx="5752095" cy="639234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sU-ctrFSyCfoSwzMwfgH_U_IEwvWGgMbrxNKMnrCiWq2EXShpNbDgjOjg_YSz4Kv_ht-288w2MhQyu8Clha-bMVoquT0P9dJMnIUM3uc0GVVu-4-08OXcFCvi42fuXFp9zMYwE.jpg"/>
                          <pic:cNvPicPr>
                            <a:picLocks noChangeAspect="1"/>
                          </pic:cNvPicPr>
                        </pic:nvPicPr>
                        <pic:blipFill>
                          <a:blip r:embed="rId6">
                            <a:extLst/>
                          </a:blip>
                          <a:stretch>
                            <a:fillRect/>
                          </a:stretch>
                        </pic:blipFill>
                        <pic:spPr>
                          <a:xfrm>
                            <a:off x="0" y="0"/>
                            <a:ext cx="5752095" cy="6392346"/>
                          </a:xfrm>
                          <a:prstGeom prst="rect">
                            <a:avLst/>
                          </a:prstGeom>
                          <a:ln w="12700" cap="flat">
                            <a:noFill/>
                            <a:miter lim="400000"/>
                          </a:ln>
                          <a:effectLst/>
                        </pic:spPr>
                      </pic:pic>
                    </a:graphicData>
                  </a:graphic>
                </wp:inline>
              </w:drawing>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rtl w:val="0"/>
              </w:rPr>
            </w:pPr>
            <w:r>
              <w:rPr>
                <w:rFonts w:ascii="Arial" w:hAnsi="Arial"/>
                <w:sz w:val="29"/>
                <w:szCs w:val="29"/>
                <w:rtl w:val="0"/>
                <w:lang w:val="en-US"/>
              </w:rPr>
              <w:t>Equity and equality aren</w:t>
            </w:r>
            <w:r>
              <w:rPr>
                <w:rFonts w:ascii="Arial" w:hAnsi="Arial" w:hint="default"/>
                <w:sz w:val="29"/>
                <w:szCs w:val="29"/>
                <w:rtl w:val="0"/>
              </w:rPr>
              <w:t>’</w:t>
            </w:r>
            <w:r>
              <w:rPr>
                <w:rFonts w:ascii="Arial" w:hAnsi="Arial"/>
                <w:sz w:val="29"/>
                <w:szCs w:val="29"/>
                <w:rtl w:val="0"/>
                <w:lang w:val="en-US"/>
              </w:rPr>
              <w:t>t the same, but we need both to develop high-quality #familyplanning programs:</w:t>
            </w:r>
          </w:p>
          <w:p>
            <w:pPr>
              <w:pStyle w:val="Table Style 2"/>
              <w:bidi w:val="0"/>
              <w:spacing w:line="340" w:lineRule="atLeast"/>
              <w:ind w:left="0" w:right="0" w:firstLine="0"/>
              <w:jc w:val="left"/>
              <w:rPr>
                <w:rtl w:val="0"/>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"https://www.fphighimpactpractices.org/wp-content/uploads/2019/10/HIP-Equity-Discussion-Paper.pdf"</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https://www.fphighimpactpractices.org/wp-content/uploads/2019/10/HIP-Equity-Discussion-Paper.pdf</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rtl w:val="0"/>
                <w:lang w:val="de-DE"/>
                <w14:textFill>
                  <w14:solidFill>
                    <w14:srgbClr w14:val="000000"/>
                  </w14:solidFill>
                </w14:textFill>
              </w:rPr>
              <w:t xml:space="preserve"> #HIPs4FP</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rtl w:val="0"/>
              </w:rPr>
            </w:pPr>
            <w:r>
              <w:rPr>
                <w:rFonts w:ascii="Arial" w:hAnsi="Arial"/>
                <w:sz w:val="29"/>
                <w:szCs w:val="29"/>
                <w:rtl w:val="0"/>
                <w:lang w:val="en-US"/>
              </w:rPr>
              <w:t>#Equity is one of the HIP Partnership</w:t>
            </w:r>
            <w:r>
              <w:rPr>
                <w:rFonts w:ascii="Arial" w:hAnsi="Arial" w:hint="default"/>
                <w:sz w:val="29"/>
                <w:szCs w:val="29"/>
                <w:rtl w:val="0"/>
              </w:rPr>
              <w:t>’</w:t>
            </w:r>
            <w:r>
              <w:rPr>
                <w:rFonts w:ascii="Arial" w:hAnsi="Arial"/>
                <w:sz w:val="29"/>
                <w:szCs w:val="29"/>
                <w:rtl w:val="0"/>
                <w:lang w:val="en-US"/>
              </w:rPr>
              <w:t>s 8 guiding principles and an important #familyplanning consideration:</w:t>
            </w:r>
          </w:p>
          <w:p>
            <w:pPr>
              <w:pStyle w:val="Table Style 2"/>
              <w:bidi w:val="0"/>
              <w:spacing w:line="340" w:lineRule="atLeast"/>
              <w:ind w:left="0" w:right="0" w:firstLine="0"/>
              <w:jc w:val="left"/>
              <w:rPr>
                <w:rtl w:val="0"/>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"https://www.fphighimpactpractices.org/wp-content/uploads/2019/10/HIP-Equity-Discussion-Paper.pdf"</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https://www.fphighimpactpractices.org/wp-content/uploads/2019/10/HIP-Equity-Discussion-Paper.pdf</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rtl w:val="0"/>
                <w:lang w:val="de-DE"/>
                <w14:textFill>
                  <w14:solidFill>
                    <w14:srgbClr w14:val="000000"/>
                  </w14:solidFill>
                </w14:textFill>
              </w:rPr>
              <w:t xml:space="preserve"> #HIPs4FP</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Hearing a lot about #equity, but wondering how it</w:t>
            </w:r>
            <w:r>
              <w:rPr>
                <w:rFonts w:ascii="Arial" w:hAnsi="Arial" w:hint="default"/>
                <w:sz w:val="29"/>
                <w:szCs w:val="29"/>
                <w:rtl w:val="0"/>
              </w:rPr>
              <w:t>’</w:t>
            </w:r>
            <w:r>
              <w:rPr>
                <w:rFonts w:ascii="Arial" w:hAnsi="Arial"/>
                <w:sz w:val="29"/>
                <w:szCs w:val="29"/>
                <w:rtl w:val="0"/>
                <w:lang w:val="en-US"/>
              </w:rPr>
              <w:t>s defined for health and #familyplanning? That</w:t>
            </w:r>
            <w:r>
              <w:rPr>
                <w:rFonts w:ascii="Arial" w:hAnsi="Arial" w:hint="default"/>
                <w:sz w:val="29"/>
                <w:szCs w:val="29"/>
                <w:rtl w:val="0"/>
              </w:rPr>
              <w:t>’</w:t>
            </w:r>
            <w:r>
              <w:rPr>
                <w:rFonts w:ascii="Arial" w:hAnsi="Arial"/>
                <w:sz w:val="29"/>
                <w:szCs w:val="29"/>
                <w:rtl w:val="0"/>
                <w:lang w:val="en-US"/>
              </w:rPr>
              <w:t xml:space="preserve">s why the HIP Partnership wrote a paper on it: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"https://www.fphighimpactpractices.org/wp-content/uploads/2019/10/HIP-Equity-Discussion-Paper.pdf"</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https://www.fphighimpactpractices.org/wp-content/uploads/2019/10/HIP-Equity-Discussion-Paper.pdf</w:t>
            </w:r>
            <w:r>
              <w:rPr>
                <w:rFonts w:ascii="Arial" w:cs="Arial" w:hAnsi="Arial" w:eastAsia="Arial"/>
                <w:sz w:val="29"/>
                <w:szCs w:val="29"/>
                <w:rtl w:val="0"/>
              </w:rPr>
              <w:fldChar w:fldCharType="end" w:fldLock="0"/>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"https://www.fphighimpactpractices.org/briefs/galvanizing-commitment/"</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rPr>
              <w:t>/</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bl>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tl w:val="0"/>
        </w:rPr>
      </w:pPr>
      <w:r>
        <w:rPr>
          <w:rFonts w:ascii="Times" w:cs="Times" w:hAnsi="Times" w:eastAsia="Times"/>
          <w:sz w:val="24"/>
          <w:szCs w:val="24"/>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