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326D9" w14:textId="48394BDF" w:rsidR="00F4617D" w:rsidRDefault="00F86CB9">
      <w:pPr>
        <w:spacing w:after="120"/>
        <w:rPr>
          <w:rFonts w:ascii="Calibri" w:eastAsia="Calibri" w:hAnsi="Calibri" w:cs="Calibri"/>
          <w:b/>
          <w:sz w:val="17"/>
          <w:szCs w:val="17"/>
        </w:rPr>
      </w:pPr>
      <w:r>
        <w:rPr>
          <w:rFonts w:ascii="Calibri" w:eastAsia="Calibri" w:hAnsi="Calibri" w:cs="Calibri"/>
          <w:b/>
          <w:sz w:val="17"/>
          <w:szCs w:val="17"/>
        </w:rPr>
        <w:t>March</w:t>
      </w:r>
      <w:r w:rsidR="004F7252">
        <w:rPr>
          <w:rFonts w:ascii="Calibri" w:eastAsia="Calibri" w:hAnsi="Calibri" w:cs="Calibri"/>
          <w:b/>
          <w:sz w:val="17"/>
          <w:szCs w:val="17"/>
        </w:rPr>
        <w:t xml:space="preserve"> 202</w:t>
      </w:r>
      <w:r>
        <w:rPr>
          <w:rFonts w:ascii="Calibri" w:eastAsia="Calibri" w:hAnsi="Calibri" w:cs="Calibri"/>
          <w:b/>
          <w:sz w:val="17"/>
          <w:szCs w:val="17"/>
        </w:rPr>
        <w:t>1</w:t>
      </w:r>
    </w:p>
    <w:p w14:paraId="20D60E7A" w14:textId="77777777" w:rsidR="00F4617D" w:rsidRDefault="004F7252">
      <w:pPr>
        <w:jc w:val="center"/>
        <w:rPr>
          <w:rFonts w:ascii="Calibri" w:eastAsia="Calibri" w:hAnsi="Calibri" w:cs="Calibri"/>
          <w:color w:val="262626"/>
          <w:sz w:val="17"/>
          <w:szCs w:val="17"/>
        </w:rPr>
      </w:pPr>
      <w:r>
        <w:rPr>
          <w:rFonts w:ascii="Calibri" w:eastAsia="Calibri" w:hAnsi="Calibri" w:cs="Calibri"/>
          <w:noProof/>
          <w:highlight w:val="white"/>
        </w:rPr>
        <w:drawing>
          <wp:inline distT="114300" distB="114300" distL="114300" distR="114300" wp14:anchorId="5220750E" wp14:editId="42376F6E">
            <wp:extent cx="3681413" cy="91629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681413" cy="916299"/>
                    </a:xfrm>
                    <a:prstGeom prst="rect">
                      <a:avLst/>
                    </a:prstGeom>
                    <a:ln/>
                  </pic:spPr>
                </pic:pic>
              </a:graphicData>
            </a:graphic>
          </wp:inline>
        </w:drawing>
      </w:r>
      <w:r>
        <w:rPr>
          <w:rFonts w:ascii="Calibri" w:eastAsia="Calibri" w:hAnsi="Calibri" w:cs="Calibri"/>
          <w:highlight w:val="white"/>
        </w:rPr>
        <w:t xml:space="preserve"> </w:t>
      </w:r>
      <w:r>
        <w:rPr>
          <w:rFonts w:ascii="Calibri" w:eastAsia="Calibri" w:hAnsi="Calibri" w:cs="Calibri"/>
          <w:color w:val="262626"/>
          <w:sz w:val="17"/>
          <w:szCs w:val="17"/>
        </w:rPr>
        <w:t xml:space="preserve"> </w:t>
      </w:r>
    </w:p>
    <w:p w14:paraId="4EF62846" w14:textId="77777777" w:rsidR="00F4617D" w:rsidRDefault="00F4617D">
      <w:pPr>
        <w:shd w:val="clear" w:color="auto" w:fill="FFFFFF"/>
        <w:jc w:val="center"/>
        <w:rPr>
          <w:rFonts w:ascii="Calibri" w:eastAsia="Calibri" w:hAnsi="Calibri" w:cs="Calibri"/>
          <w:sz w:val="24"/>
          <w:szCs w:val="24"/>
        </w:rPr>
      </w:pPr>
    </w:p>
    <w:p w14:paraId="5473E9FC" w14:textId="3B7E3845" w:rsidR="00F4617D" w:rsidRDefault="004F7252">
      <w:pPr>
        <w:shd w:val="clear" w:color="auto" w:fill="FFFFFF"/>
        <w:rPr>
          <w:rFonts w:ascii="Calibri" w:eastAsia="Calibri" w:hAnsi="Calibri" w:cs="Calibri"/>
          <w:b/>
          <w:color w:val="0B4CB4"/>
          <w:sz w:val="24"/>
          <w:szCs w:val="24"/>
          <w:u w:val="single"/>
        </w:rPr>
      </w:pPr>
      <w:r>
        <w:rPr>
          <w:rFonts w:ascii="Calibri" w:eastAsia="Calibri" w:hAnsi="Calibri" w:cs="Calibri"/>
          <w:b/>
          <w:sz w:val="24"/>
          <w:szCs w:val="24"/>
        </w:rPr>
        <w:t xml:space="preserve">Updated - HIP </w:t>
      </w:r>
      <w:hyperlink r:id="rId8" w:history="1">
        <w:r w:rsidR="00F86CB9" w:rsidRPr="00F86CB9">
          <w:rPr>
            <w:rStyle w:val="Hyperlink"/>
            <w:rFonts w:ascii="Calibri" w:eastAsia="Calibri" w:hAnsi="Calibri" w:cs="Calibri"/>
            <w:b/>
            <w:sz w:val="24"/>
            <w:szCs w:val="24"/>
          </w:rPr>
          <w:t>Adolescent-Responsive Contraceptive Services</w:t>
        </w:r>
      </w:hyperlink>
    </w:p>
    <w:p w14:paraId="7DE4393E" w14:textId="77777777" w:rsidR="00F4617D" w:rsidRDefault="00F4617D">
      <w:pPr>
        <w:spacing w:after="120"/>
        <w:rPr>
          <w:rFonts w:ascii="Calibri" w:eastAsia="Calibri" w:hAnsi="Calibri" w:cs="Calibri"/>
          <w:sz w:val="17"/>
          <w:szCs w:val="17"/>
        </w:rPr>
      </w:pPr>
    </w:p>
    <w:p w14:paraId="1C5E4CF2" w14:textId="567ACDE6" w:rsidR="00F4617D" w:rsidRDefault="00225BF8">
      <w:pPr>
        <w:rPr>
          <w:rFonts w:ascii="Calibri" w:eastAsia="Calibri" w:hAnsi="Calibri" w:cs="Calibri"/>
          <w:sz w:val="24"/>
          <w:szCs w:val="24"/>
        </w:rPr>
      </w:pPr>
      <w:r w:rsidRPr="00225BF8">
        <w:rPr>
          <w:rFonts w:ascii="Calibri" w:eastAsia="Calibri" w:hAnsi="Calibri" w:cs="Calibri"/>
          <w:sz w:val="24"/>
          <w:szCs w:val="24"/>
        </w:rPr>
        <w:t xml:space="preserve">There is evidence that adolescent-friendly services, when well-designed and well-implemented, can help increase access to and use of contraception. However, traditional models of specialized service delivery for adolescents have proven difficult to sustain and scale.  Establishing adolescent-responsive contraceptive services (ARCS) is emerging as a more scalable and sustainable way to meet adolescents’ needs for contraceptive information and services.  The term </w:t>
      </w:r>
      <w:r w:rsidRPr="00225BF8">
        <w:rPr>
          <w:rFonts w:ascii="Calibri" w:eastAsia="Calibri" w:hAnsi="Calibri" w:cs="Calibri"/>
          <w:i/>
          <w:sz w:val="24"/>
          <w:szCs w:val="24"/>
        </w:rPr>
        <w:t>adolescent-responsive contraceptive services</w:t>
      </w:r>
      <w:r w:rsidRPr="00225BF8">
        <w:rPr>
          <w:rFonts w:ascii="Calibri" w:eastAsia="Calibri" w:hAnsi="Calibri" w:cs="Calibri"/>
          <w:sz w:val="24"/>
          <w:szCs w:val="24"/>
        </w:rPr>
        <w:t xml:space="preserve"> (ARCS) signals an evolution from traditional stand-alone models of adolescent-friendly services towards a systems approach to making existing contraceptive services adolescent-responsive by incorporating elements with demonstrated effectiveness for increasing adolescent contraceptive use.</w:t>
      </w:r>
      <w:r>
        <w:rPr>
          <w:rFonts w:ascii="Calibri" w:eastAsia="Calibri" w:hAnsi="Calibri" w:cs="Calibri"/>
          <w:sz w:val="24"/>
          <w:szCs w:val="24"/>
        </w:rPr>
        <w:t xml:space="preserve"> </w:t>
      </w:r>
      <w:r w:rsidRPr="00225BF8">
        <w:rPr>
          <w:rFonts w:ascii="Calibri" w:eastAsia="Calibri" w:hAnsi="Calibri" w:cs="Calibri"/>
          <w:sz w:val="24"/>
          <w:szCs w:val="24"/>
        </w:rPr>
        <w:t>A systems approach implies that policies, procedures, and programs across the entire health system are adapted to respond to the diverse needs and preferences of adolescents.</w:t>
      </w:r>
    </w:p>
    <w:p w14:paraId="1BFCBFFE" w14:textId="77777777" w:rsidR="00225BF8" w:rsidRDefault="00225BF8">
      <w:pPr>
        <w:rPr>
          <w:rFonts w:ascii="Calibri" w:eastAsia="Calibri" w:hAnsi="Calibri" w:cs="Calibri"/>
          <w:sz w:val="24"/>
          <w:szCs w:val="24"/>
        </w:rPr>
      </w:pPr>
    </w:p>
    <w:p w14:paraId="68BAA6CB" w14:textId="2BF92EE7" w:rsidR="00F4617D" w:rsidRDefault="00F86CB9">
      <w:pPr>
        <w:rPr>
          <w:rFonts w:ascii="Calibri" w:eastAsia="Calibri" w:hAnsi="Calibri" w:cs="Calibri"/>
          <w:sz w:val="24"/>
          <w:szCs w:val="24"/>
        </w:rPr>
      </w:pPr>
      <w:r>
        <w:rPr>
          <w:rFonts w:ascii="Calibri" w:eastAsia="Calibri" w:hAnsi="Calibri" w:cs="Calibri"/>
          <w:b/>
          <w:sz w:val="24"/>
          <w:szCs w:val="24"/>
        </w:rPr>
        <w:t>Adolescent-Responsive Contraceptive Services</w:t>
      </w:r>
      <w:r w:rsidR="004F7252">
        <w:rPr>
          <w:rFonts w:ascii="Calibri" w:eastAsia="Calibri" w:hAnsi="Calibri" w:cs="Calibri"/>
          <w:sz w:val="24"/>
          <w:szCs w:val="24"/>
        </w:rPr>
        <w:t xml:space="preserve"> </w:t>
      </w:r>
      <w:r w:rsidR="00225BF8">
        <w:rPr>
          <w:rFonts w:ascii="Calibri" w:eastAsia="Calibri" w:hAnsi="Calibri" w:cs="Calibri"/>
          <w:sz w:val="24"/>
          <w:szCs w:val="24"/>
        </w:rPr>
        <w:t xml:space="preserve">(ARCS) </w:t>
      </w:r>
      <w:r w:rsidR="004F7252">
        <w:rPr>
          <w:rFonts w:ascii="Calibri" w:eastAsia="Calibri" w:hAnsi="Calibri" w:cs="Calibri"/>
          <w:sz w:val="24"/>
          <w:szCs w:val="24"/>
        </w:rPr>
        <w:t xml:space="preserve">has been identified as a </w:t>
      </w:r>
      <w:r w:rsidR="004F7252">
        <w:rPr>
          <w:rFonts w:ascii="Calibri" w:eastAsia="Calibri" w:hAnsi="Calibri" w:cs="Calibri"/>
          <w:sz w:val="24"/>
          <w:szCs w:val="24"/>
          <w:highlight w:val="white"/>
        </w:rPr>
        <w:t>HIPs Enhancement—a practice that is not typically a standalone intervention, but rather implemented in conjunction with HIPs to further intensify the impact of the HIPs.</w:t>
      </w:r>
      <w:r w:rsidR="004F7252">
        <w:rPr>
          <w:rFonts w:ascii="Calibri" w:eastAsia="Calibri" w:hAnsi="Calibri" w:cs="Calibri"/>
          <w:sz w:val="24"/>
          <w:szCs w:val="24"/>
        </w:rPr>
        <w:t xml:space="preserve"> </w:t>
      </w:r>
      <w:r w:rsidR="00995375">
        <w:rPr>
          <w:rFonts w:ascii="Calibri" w:eastAsia="Calibri" w:hAnsi="Calibri" w:cs="Calibri"/>
          <w:sz w:val="24"/>
          <w:szCs w:val="24"/>
        </w:rPr>
        <w:t xml:space="preserve">Examples of </w:t>
      </w:r>
      <w:r w:rsidR="00995375" w:rsidRPr="00995375">
        <w:rPr>
          <w:rFonts w:ascii="Calibri" w:eastAsia="Calibri" w:hAnsi="Calibri" w:cs="Calibri"/>
          <w:sz w:val="24"/>
          <w:szCs w:val="24"/>
        </w:rPr>
        <w:t xml:space="preserve"> how HIPs can be enhanced through the inclusion of adolescent-responsive elements </w:t>
      </w:r>
      <w:r w:rsidR="00225BF8">
        <w:rPr>
          <w:rFonts w:ascii="Calibri" w:eastAsia="Calibri" w:hAnsi="Calibri" w:cs="Calibri"/>
          <w:sz w:val="24"/>
          <w:szCs w:val="24"/>
        </w:rPr>
        <w:t>include offering contraceptive information and methods to adolescent mothers during routine child immunizations (</w:t>
      </w:r>
      <w:r w:rsidR="00995375">
        <w:rPr>
          <w:rFonts w:ascii="Calibri" w:eastAsia="Calibri" w:hAnsi="Calibri" w:cs="Calibri"/>
          <w:sz w:val="24"/>
          <w:szCs w:val="24"/>
        </w:rPr>
        <w:t>Family planning and immunization integration</w:t>
      </w:r>
      <w:r w:rsidR="00225BF8">
        <w:rPr>
          <w:rFonts w:ascii="Calibri" w:eastAsia="Calibri" w:hAnsi="Calibri" w:cs="Calibri"/>
          <w:sz w:val="24"/>
          <w:szCs w:val="24"/>
        </w:rPr>
        <w:t>), vouchers for free services to offset financial barriers for youth and adolescents</w:t>
      </w:r>
      <w:r w:rsidR="00995375">
        <w:rPr>
          <w:rFonts w:ascii="Calibri" w:eastAsia="Calibri" w:hAnsi="Calibri" w:cs="Calibri"/>
          <w:sz w:val="24"/>
          <w:szCs w:val="24"/>
        </w:rPr>
        <w:t xml:space="preserve"> and targeted demand generation</w:t>
      </w:r>
      <w:r w:rsidR="00225BF8">
        <w:rPr>
          <w:rFonts w:ascii="Calibri" w:eastAsia="Calibri" w:hAnsi="Calibri" w:cs="Calibri"/>
          <w:sz w:val="24"/>
          <w:szCs w:val="24"/>
        </w:rPr>
        <w:t xml:space="preserve"> (</w:t>
      </w:r>
      <w:r w:rsidR="00995375">
        <w:rPr>
          <w:rFonts w:ascii="Calibri" w:eastAsia="Calibri" w:hAnsi="Calibri" w:cs="Calibri"/>
          <w:sz w:val="24"/>
          <w:szCs w:val="24"/>
        </w:rPr>
        <w:t>Social franchising</w:t>
      </w:r>
      <w:r w:rsidR="00225BF8">
        <w:rPr>
          <w:rFonts w:ascii="Calibri" w:eastAsia="Calibri" w:hAnsi="Calibri" w:cs="Calibri"/>
          <w:sz w:val="24"/>
          <w:szCs w:val="24"/>
        </w:rPr>
        <w:t>), and community health workers trained to counsel and refer married adolescents for contraception during household visits (</w:t>
      </w:r>
      <w:r w:rsidR="00995375">
        <w:rPr>
          <w:rFonts w:ascii="Calibri" w:eastAsia="Calibri" w:hAnsi="Calibri" w:cs="Calibri"/>
          <w:sz w:val="24"/>
          <w:szCs w:val="24"/>
        </w:rPr>
        <w:t>Community health workers</w:t>
      </w:r>
      <w:r w:rsidR="00225BF8">
        <w:rPr>
          <w:rFonts w:ascii="Calibri" w:eastAsia="Calibri" w:hAnsi="Calibri" w:cs="Calibri"/>
          <w:sz w:val="24"/>
          <w:szCs w:val="24"/>
        </w:rPr>
        <w:t xml:space="preserve">). </w:t>
      </w:r>
    </w:p>
    <w:p w14:paraId="5B9DB381" w14:textId="77777777" w:rsidR="00F4617D" w:rsidRDefault="00F4617D">
      <w:pPr>
        <w:rPr>
          <w:rFonts w:ascii="Calibri" w:eastAsia="Calibri" w:hAnsi="Calibri" w:cs="Calibri"/>
          <w:sz w:val="24"/>
          <w:szCs w:val="24"/>
        </w:rPr>
      </w:pPr>
    </w:p>
    <w:p w14:paraId="4BFC3C12" w14:textId="6C9818B0" w:rsidR="00F4617D" w:rsidRDefault="004F7252">
      <w:pPr>
        <w:rPr>
          <w:rFonts w:ascii="Calibri" w:eastAsia="Calibri" w:hAnsi="Calibri" w:cs="Calibri"/>
          <w:sz w:val="24"/>
          <w:szCs w:val="24"/>
        </w:rPr>
      </w:pPr>
      <w:r>
        <w:rPr>
          <w:rFonts w:ascii="Calibri" w:eastAsia="Calibri" w:hAnsi="Calibri" w:cs="Calibri"/>
          <w:sz w:val="24"/>
          <w:szCs w:val="24"/>
        </w:rPr>
        <w:t xml:space="preserve">Download the </w:t>
      </w:r>
      <w:hyperlink r:id="rId9" w:history="1">
        <w:r w:rsidRPr="00995375">
          <w:rPr>
            <w:rStyle w:val="Hyperlink"/>
            <w:rFonts w:ascii="Calibri" w:eastAsia="Calibri" w:hAnsi="Calibri" w:cs="Calibri"/>
            <w:sz w:val="24"/>
            <w:szCs w:val="24"/>
          </w:rPr>
          <w:t xml:space="preserve">HIP </w:t>
        </w:r>
        <w:r w:rsidR="00225BF8" w:rsidRPr="00995375">
          <w:rPr>
            <w:rStyle w:val="Hyperlink"/>
            <w:rFonts w:ascii="Calibri" w:eastAsia="Calibri" w:hAnsi="Calibri" w:cs="Calibri"/>
            <w:sz w:val="24"/>
            <w:szCs w:val="24"/>
          </w:rPr>
          <w:t xml:space="preserve">Adolescent-Responsive Contraceptive Services </w:t>
        </w:r>
        <w:r w:rsidRPr="00995375">
          <w:rPr>
            <w:rStyle w:val="Hyperlink"/>
            <w:rFonts w:ascii="Calibri" w:eastAsia="Calibri" w:hAnsi="Calibri" w:cs="Calibri"/>
            <w:sz w:val="24"/>
            <w:szCs w:val="24"/>
          </w:rPr>
          <w:t>brief</w:t>
        </w:r>
      </w:hyperlink>
      <w:r>
        <w:rPr>
          <w:rFonts w:ascii="Calibri" w:eastAsia="Calibri" w:hAnsi="Calibri" w:cs="Calibri"/>
          <w:sz w:val="24"/>
          <w:szCs w:val="24"/>
        </w:rPr>
        <w:t xml:space="preserve"> and visit </w:t>
      </w:r>
      <w:hyperlink r:id="rId10">
        <w:r>
          <w:rPr>
            <w:rFonts w:ascii="Calibri" w:eastAsia="Calibri" w:hAnsi="Calibri" w:cs="Calibri"/>
            <w:color w:val="1155CC"/>
            <w:sz w:val="24"/>
            <w:szCs w:val="24"/>
            <w:u w:val="single"/>
          </w:rPr>
          <w:t>www.fphighimpactpractices.org</w:t>
        </w:r>
      </w:hyperlink>
      <w:r>
        <w:rPr>
          <w:rFonts w:ascii="Calibri" w:eastAsia="Calibri" w:hAnsi="Calibri" w:cs="Calibri"/>
          <w:sz w:val="24"/>
          <w:szCs w:val="24"/>
        </w:rPr>
        <w:t xml:space="preserve"> to learn more about High Impact Practices in Family Planning.</w:t>
      </w:r>
    </w:p>
    <w:p w14:paraId="26996112" w14:textId="77777777" w:rsidR="00F4617D" w:rsidRDefault="00F4617D">
      <w:pPr>
        <w:rPr>
          <w:rFonts w:ascii="Calibri" w:eastAsia="Calibri" w:hAnsi="Calibri" w:cs="Calibri"/>
          <w:sz w:val="24"/>
          <w:szCs w:val="24"/>
        </w:rPr>
      </w:pPr>
    </w:p>
    <w:p w14:paraId="652DC3E8" w14:textId="77777777" w:rsidR="00F4617D" w:rsidRDefault="00F4617D">
      <w:pPr>
        <w:rPr>
          <w:rFonts w:ascii="Calibri" w:eastAsia="Calibri" w:hAnsi="Calibri" w:cs="Calibri"/>
          <w:sz w:val="24"/>
          <w:szCs w:val="24"/>
        </w:rPr>
      </w:pPr>
    </w:p>
    <w:p w14:paraId="27C1895A" w14:textId="77777777" w:rsidR="00F4617D" w:rsidRDefault="00F4617D">
      <w:pPr>
        <w:rPr>
          <w:rFonts w:ascii="Calibri" w:eastAsia="Calibri" w:hAnsi="Calibri" w:cs="Calibri"/>
          <w:sz w:val="24"/>
          <w:szCs w:val="24"/>
        </w:rPr>
      </w:pPr>
    </w:p>
    <w:p w14:paraId="46BF1504" w14:textId="77777777" w:rsidR="00F4617D" w:rsidRDefault="00F4617D">
      <w:pPr>
        <w:rPr>
          <w:rFonts w:ascii="Calibri" w:eastAsia="Calibri" w:hAnsi="Calibri" w:cs="Calibri"/>
          <w:sz w:val="24"/>
          <w:szCs w:val="24"/>
        </w:rPr>
      </w:pPr>
    </w:p>
    <w:p w14:paraId="2B9613B2" w14:textId="77777777" w:rsidR="00F4617D" w:rsidRDefault="00F4617D">
      <w:pPr>
        <w:rPr>
          <w:rFonts w:ascii="Calibri" w:eastAsia="Calibri" w:hAnsi="Calibri" w:cs="Calibri"/>
          <w:sz w:val="24"/>
          <w:szCs w:val="24"/>
        </w:rPr>
      </w:pPr>
    </w:p>
    <w:p w14:paraId="377E53F4" w14:textId="77777777" w:rsidR="00F4617D" w:rsidRDefault="00F4617D">
      <w:pPr>
        <w:rPr>
          <w:rFonts w:ascii="Calibri" w:eastAsia="Calibri" w:hAnsi="Calibri" w:cs="Calibri"/>
          <w:sz w:val="24"/>
          <w:szCs w:val="24"/>
        </w:rPr>
      </w:pPr>
    </w:p>
    <w:p w14:paraId="53CCF148" w14:textId="77777777" w:rsidR="00995375" w:rsidRDefault="004F7252" w:rsidP="00995375">
      <w:pPr>
        <w:shd w:val="clear" w:color="auto" w:fill="FFFFFF"/>
        <w:rPr>
          <w:rFonts w:ascii="Calibri" w:eastAsia="Calibri" w:hAnsi="Calibri" w:cs="Calibri"/>
          <w:b/>
          <w:color w:val="0B4CB4"/>
          <w:sz w:val="24"/>
          <w:szCs w:val="24"/>
          <w:u w:val="single"/>
        </w:rPr>
      </w:pPr>
      <w:r>
        <w:rPr>
          <w:rFonts w:ascii="Calibri" w:eastAsia="Calibri" w:hAnsi="Calibri" w:cs="Calibri"/>
          <w:b/>
        </w:rPr>
        <w:lastRenderedPageBreak/>
        <w:t>Key Points:</w:t>
      </w:r>
      <w:r>
        <w:rPr>
          <w:rFonts w:ascii="Calibri" w:eastAsia="Calibri" w:hAnsi="Calibri" w:cs="Calibri"/>
          <w:b/>
          <w:sz w:val="14"/>
          <w:szCs w:val="14"/>
        </w:rPr>
        <w:t xml:space="preserve"> </w:t>
      </w:r>
      <w:hyperlink r:id="rId11" w:history="1">
        <w:r w:rsidR="00995375" w:rsidRPr="00F86CB9">
          <w:rPr>
            <w:rStyle w:val="Hyperlink"/>
            <w:rFonts w:ascii="Calibri" w:eastAsia="Calibri" w:hAnsi="Calibri" w:cs="Calibri"/>
            <w:b/>
            <w:sz w:val="24"/>
            <w:szCs w:val="24"/>
          </w:rPr>
          <w:t>Adolescent-Responsive C</w:t>
        </w:r>
        <w:r w:rsidR="00995375" w:rsidRPr="00F86CB9">
          <w:rPr>
            <w:rStyle w:val="Hyperlink"/>
            <w:rFonts w:ascii="Calibri" w:eastAsia="Calibri" w:hAnsi="Calibri" w:cs="Calibri"/>
            <w:b/>
            <w:sz w:val="24"/>
            <w:szCs w:val="24"/>
          </w:rPr>
          <w:t>o</w:t>
        </w:r>
        <w:r w:rsidR="00995375" w:rsidRPr="00F86CB9">
          <w:rPr>
            <w:rStyle w:val="Hyperlink"/>
            <w:rFonts w:ascii="Calibri" w:eastAsia="Calibri" w:hAnsi="Calibri" w:cs="Calibri"/>
            <w:b/>
            <w:sz w:val="24"/>
            <w:szCs w:val="24"/>
          </w:rPr>
          <w:t>ntraceptive Services</w:t>
        </w:r>
      </w:hyperlink>
    </w:p>
    <w:p w14:paraId="58B8ACAC" w14:textId="2AB75776" w:rsidR="00F4617D" w:rsidRDefault="00F4617D">
      <w:pPr>
        <w:jc w:val="center"/>
        <w:rPr>
          <w:rFonts w:ascii="Calibri" w:eastAsia="Calibri" w:hAnsi="Calibri" w:cs="Calibri"/>
        </w:rPr>
      </w:pPr>
    </w:p>
    <w:p w14:paraId="20426D73" w14:textId="27F3CD88" w:rsidR="00344A3D" w:rsidRPr="008F5399" w:rsidRDefault="00D22B05" w:rsidP="00344A3D">
      <w:pPr>
        <w:numPr>
          <w:ilvl w:val="0"/>
          <w:numId w:val="2"/>
        </w:numPr>
        <w:rPr>
          <w:rFonts w:ascii="Calibri" w:eastAsia="Calibri" w:hAnsi="Calibri" w:cs="Calibri"/>
        </w:rPr>
      </w:pPr>
      <w:r>
        <w:rPr>
          <w:rFonts w:ascii="Calibri" w:eastAsia="Calibri" w:hAnsi="Calibri" w:cs="Calibri"/>
        </w:rPr>
        <w:t>M</w:t>
      </w:r>
      <w:r w:rsidRPr="00D22B05">
        <w:rPr>
          <w:rFonts w:ascii="Calibri" w:eastAsia="Calibri" w:hAnsi="Calibri" w:cs="Calibri"/>
        </w:rPr>
        <w:t xml:space="preserve">any countries continue to use approaches </w:t>
      </w:r>
      <w:r>
        <w:rPr>
          <w:rFonts w:ascii="Calibri" w:eastAsia="Calibri" w:hAnsi="Calibri" w:cs="Calibri"/>
        </w:rPr>
        <w:t xml:space="preserve">for </w:t>
      </w:r>
      <w:r w:rsidR="00344A3D" w:rsidRPr="008F5399">
        <w:rPr>
          <w:rFonts w:ascii="Calibri" w:eastAsia="Calibri" w:hAnsi="Calibri" w:cs="Calibri"/>
        </w:rPr>
        <w:t>adolescent contraceptive services are either ineffective at increasing contraceptive use (e.g., youth centers) demonstrate mixed effects (peer education) or are challenging to sustain and bring to scale (separate spaces for young people within health facilities) and contribute to poor sexual and reproductive health outcomes.</w:t>
      </w:r>
    </w:p>
    <w:p w14:paraId="2F6D9F1C" w14:textId="77777777" w:rsidR="00344A3D" w:rsidRPr="008F5399" w:rsidRDefault="00344A3D" w:rsidP="00344A3D">
      <w:pPr>
        <w:numPr>
          <w:ilvl w:val="0"/>
          <w:numId w:val="2"/>
        </w:numPr>
        <w:rPr>
          <w:rFonts w:ascii="Calibri" w:eastAsia="Calibri" w:hAnsi="Calibri" w:cs="Calibri"/>
        </w:rPr>
      </w:pPr>
      <w:r w:rsidRPr="008F5399">
        <w:rPr>
          <w:rFonts w:ascii="Calibri" w:eastAsia="Calibri" w:hAnsi="Calibri" w:cs="Calibri"/>
        </w:rPr>
        <w:t xml:space="preserve">Establishing adolescent-responsive contraceptive services (ARCS) is emerging as a more scalable and sustainable way to meet adolescents’ needs for contraceptive information and services.   </w:t>
      </w:r>
    </w:p>
    <w:p w14:paraId="1B7DAFD8" w14:textId="77777777" w:rsidR="00344A3D" w:rsidRPr="008F5399" w:rsidRDefault="00344A3D" w:rsidP="00344A3D">
      <w:pPr>
        <w:numPr>
          <w:ilvl w:val="0"/>
          <w:numId w:val="2"/>
        </w:numPr>
        <w:rPr>
          <w:rFonts w:ascii="Calibri" w:eastAsia="Calibri" w:hAnsi="Calibri" w:cs="Calibri"/>
        </w:rPr>
      </w:pPr>
      <w:r w:rsidRPr="008F5399">
        <w:rPr>
          <w:rFonts w:ascii="Calibri" w:eastAsia="Calibri" w:hAnsi="Calibri" w:cs="Calibri"/>
        </w:rPr>
        <w:t>Adolescent-responsive contraceptive services means applying a systems approach to make existing contraceptive services responsive to the needs and preferences of adolescents, i.e., incorporating evidence-based elements throughout all components of the health system, rather than implementing isolated interventions.</w:t>
      </w:r>
    </w:p>
    <w:p w14:paraId="1D423AB7" w14:textId="77777777" w:rsidR="00344A3D" w:rsidRPr="008F5399" w:rsidRDefault="00344A3D" w:rsidP="00344A3D">
      <w:pPr>
        <w:numPr>
          <w:ilvl w:val="0"/>
          <w:numId w:val="2"/>
        </w:numPr>
        <w:rPr>
          <w:rFonts w:ascii="Calibri" w:eastAsia="Calibri" w:hAnsi="Calibri" w:cs="Calibri"/>
        </w:rPr>
      </w:pPr>
      <w:r w:rsidRPr="008F5399">
        <w:rPr>
          <w:rFonts w:ascii="Calibri" w:eastAsia="Calibri" w:hAnsi="Calibri" w:cs="Calibri"/>
        </w:rPr>
        <w:t>A systems-approach to adolescent-responsive contraceptive services is necessary to address the multiple barriers to adolescent’s access and use of contraceptive services: laws and policies; gender and social norms; misconceptions and lack of knowledge; financial barriers; lack of privacy and confidentiality; and provider bias.</w:t>
      </w:r>
    </w:p>
    <w:p w14:paraId="14D68BA6" w14:textId="77777777" w:rsidR="00344A3D" w:rsidRPr="008F5399" w:rsidRDefault="00344A3D" w:rsidP="00344A3D">
      <w:pPr>
        <w:numPr>
          <w:ilvl w:val="0"/>
          <w:numId w:val="2"/>
        </w:numPr>
        <w:rPr>
          <w:rFonts w:ascii="Calibri" w:eastAsia="Calibri" w:hAnsi="Calibri" w:cs="Calibri"/>
        </w:rPr>
      </w:pPr>
      <w:r w:rsidRPr="008F5399">
        <w:rPr>
          <w:rFonts w:ascii="Calibri" w:eastAsia="Calibri" w:hAnsi="Calibri" w:cs="Calibri"/>
        </w:rPr>
        <w:t>Lessons from Chile, Ethiopia, and Uruguay show that when an adolescent-responsive leans is intentionally and systematically applied across the health system, the resulting system is stronger and is better able to sustain quality services at scale.</w:t>
      </w:r>
    </w:p>
    <w:p w14:paraId="1F944435" w14:textId="4F20A389" w:rsidR="00C84637" w:rsidRDefault="00344A3D" w:rsidP="008F5399">
      <w:pPr>
        <w:numPr>
          <w:ilvl w:val="0"/>
          <w:numId w:val="2"/>
        </w:numPr>
        <w:rPr>
          <w:rFonts w:ascii="Calibri" w:eastAsia="Calibri" w:hAnsi="Calibri" w:cs="Calibri"/>
        </w:rPr>
      </w:pPr>
      <w:r w:rsidRPr="008F5399">
        <w:rPr>
          <w:rFonts w:ascii="Calibri" w:eastAsia="Calibri" w:hAnsi="Calibri" w:cs="Calibri"/>
        </w:rPr>
        <w:t xml:space="preserve">Implementation tips </w:t>
      </w:r>
      <w:proofErr w:type="gramStart"/>
      <w:r w:rsidRPr="008F5399">
        <w:rPr>
          <w:rFonts w:ascii="Calibri" w:eastAsia="Calibri" w:hAnsi="Calibri" w:cs="Calibri"/>
        </w:rPr>
        <w:t>include:</w:t>
      </w:r>
      <w:proofErr w:type="gramEnd"/>
      <w:r w:rsidRPr="008F5399">
        <w:rPr>
          <w:rFonts w:ascii="Calibri" w:eastAsia="Calibri" w:hAnsi="Calibri" w:cs="Calibri"/>
        </w:rPr>
        <w:t xml:space="preserve"> ensure an enabling policy and legal environment for contraceptive provision to adolescents; employ a variety of sectors and channels to reach different adolescent segments for service delivery; and improve providers’ competency in providing adolescent-responsive contraceptive services. </w:t>
      </w:r>
    </w:p>
    <w:p w14:paraId="322EA366" w14:textId="4A9CA213" w:rsidR="00D22B05" w:rsidRPr="008F5399" w:rsidRDefault="00D22B05" w:rsidP="008F5399">
      <w:pPr>
        <w:numPr>
          <w:ilvl w:val="0"/>
          <w:numId w:val="2"/>
        </w:numPr>
        <w:rPr>
          <w:rFonts w:ascii="Calibri" w:eastAsia="Calibri" w:hAnsi="Calibri" w:cs="Calibri"/>
        </w:rPr>
      </w:pPr>
      <w:r>
        <w:rPr>
          <w:rFonts w:ascii="Calibri" w:eastAsia="Calibri" w:hAnsi="Calibri" w:cs="Calibri"/>
        </w:rPr>
        <w:t>Additional tips are to: collect and use data to design, improve, and track ARCS implementation; address financial barriers to adolescent contraceptive use, and support meaningful participation and leadership of adolescents.</w:t>
      </w:r>
      <w:bookmarkStart w:id="0" w:name="_GoBack"/>
      <w:bookmarkEnd w:id="0"/>
    </w:p>
    <w:p w14:paraId="472C9740" w14:textId="77777777" w:rsidR="008F5399" w:rsidRPr="008F5399" w:rsidRDefault="008F5399" w:rsidP="008F5399">
      <w:pPr>
        <w:ind w:left="720"/>
        <w:rPr>
          <w:rFonts w:ascii="Calibri" w:eastAsia="Calibri" w:hAnsi="Calibri" w:cs="Calibri"/>
          <w:highlight w:val="yellow"/>
        </w:rPr>
      </w:pPr>
    </w:p>
    <w:p w14:paraId="78C25361" w14:textId="77777777" w:rsidR="008F5399" w:rsidRDefault="008F5399">
      <w:pPr>
        <w:shd w:val="clear" w:color="auto" w:fill="FFFFFF"/>
        <w:jc w:val="center"/>
        <w:rPr>
          <w:rFonts w:ascii="Calibri" w:eastAsia="Calibri" w:hAnsi="Calibri" w:cs="Calibri"/>
          <w:b/>
          <w:sz w:val="24"/>
          <w:szCs w:val="24"/>
        </w:rPr>
      </w:pPr>
    </w:p>
    <w:p w14:paraId="3BA2BB03" w14:textId="77777777" w:rsidR="008F5399" w:rsidRDefault="008F5399">
      <w:pPr>
        <w:shd w:val="clear" w:color="auto" w:fill="FFFFFF"/>
        <w:jc w:val="center"/>
        <w:rPr>
          <w:rFonts w:ascii="Calibri" w:eastAsia="Calibri" w:hAnsi="Calibri" w:cs="Calibri"/>
          <w:b/>
          <w:sz w:val="24"/>
          <w:szCs w:val="24"/>
        </w:rPr>
      </w:pPr>
    </w:p>
    <w:p w14:paraId="64CA8380" w14:textId="77777777" w:rsidR="008F5399" w:rsidRDefault="008F5399">
      <w:pPr>
        <w:shd w:val="clear" w:color="auto" w:fill="FFFFFF"/>
        <w:jc w:val="center"/>
        <w:rPr>
          <w:rFonts w:ascii="Calibri" w:eastAsia="Calibri" w:hAnsi="Calibri" w:cs="Calibri"/>
          <w:b/>
          <w:sz w:val="24"/>
          <w:szCs w:val="24"/>
        </w:rPr>
      </w:pPr>
    </w:p>
    <w:p w14:paraId="1D64B316" w14:textId="77777777" w:rsidR="008F5399" w:rsidRDefault="008F5399">
      <w:pPr>
        <w:shd w:val="clear" w:color="auto" w:fill="FFFFFF"/>
        <w:jc w:val="center"/>
        <w:rPr>
          <w:rFonts w:ascii="Calibri" w:eastAsia="Calibri" w:hAnsi="Calibri" w:cs="Calibri"/>
          <w:b/>
          <w:sz w:val="24"/>
          <w:szCs w:val="24"/>
        </w:rPr>
      </w:pPr>
    </w:p>
    <w:p w14:paraId="49A0F406" w14:textId="77777777" w:rsidR="008F5399" w:rsidRDefault="008F5399">
      <w:pPr>
        <w:shd w:val="clear" w:color="auto" w:fill="FFFFFF"/>
        <w:jc w:val="center"/>
        <w:rPr>
          <w:rFonts w:ascii="Calibri" w:eastAsia="Calibri" w:hAnsi="Calibri" w:cs="Calibri"/>
          <w:b/>
          <w:sz w:val="24"/>
          <w:szCs w:val="24"/>
        </w:rPr>
      </w:pPr>
    </w:p>
    <w:p w14:paraId="28E7A74D" w14:textId="77777777" w:rsidR="008F5399" w:rsidRDefault="008F5399">
      <w:pPr>
        <w:shd w:val="clear" w:color="auto" w:fill="FFFFFF"/>
        <w:jc w:val="center"/>
        <w:rPr>
          <w:rFonts w:ascii="Calibri" w:eastAsia="Calibri" w:hAnsi="Calibri" w:cs="Calibri"/>
          <w:b/>
          <w:sz w:val="24"/>
          <w:szCs w:val="24"/>
        </w:rPr>
      </w:pPr>
    </w:p>
    <w:p w14:paraId="4BFBB4DC" w14:textId="77777777" w:rsidR="008F5399" w:rsidRDefault="008F5399">
      <w:pPr>
        <w:shd w:val="clear" w:color="auto" w:fill="FFFFFF"/>
        <w:jc w:val="center"/>
        <w:rPr>
          <w:rFonts w:ascii="Calibri" w:eastAsia="Calibri" w:hAnsi="Calibri" w:cs="Calibri"/>
          <w:b/>
          <w:sz w:val="24"/>
          <w:szCs w:val="24"/>
        </w:rPr>
      </w:pPr>
    </w:p>
    <w:p w14:paraId="0FE090F2" w14:textId="77777777" w:rsidR="008F5399" w:rsidRDefault="008F5399">
      <w:pPr>
        <w:shd w:val="clear" w:color="auto" w:fill="FFFFFF"/>
        <w:jc w:val="center"/>
        <w:rPr>
          <w:rFonts w:ascii="Calibri" w:eastAsia="Calibri" w:hAnsi="Calibri" w:cs="Calibri"/>
          <w:b/>
          <w:sz w:val="24"/>
          <w:szCs w:val="24"/>
        </w:rPr>
      </w:pPr>
    </w:p>
    <w:p w14:paraId="751077E4" w14:textId="77777777" w:rsidR="008F5399" w:rsidRDefault="008F5399">
      <w:pPr>
        <w:shd w:val="clear" w:color="auto" w:fill="FFFFFF"/>
        <w:jc w:val="center"/>
        <w:rPr>
          <w:rFonts w:ascii="Calibri" w:eastAsia="Calibri" w:hAnsi="Calibri" w:cs="Calibri"/>
          <w:b/>
          <w:sz w:val="24"/>
          <w:szCs w:val="24"/>
        </w:rPr>
      </w:pPr>
    </w:p>
    <w:p w14:paraId="5369F489" w14:textId="77777777" w:rsidR="008F5399" w:rsidRDefault="008F5399">
      <w:pPr>
        <w:shd w:val="clear" w:color="auto" w:fill="FFFFFF"/>
        <w:jc w:val="center"/>
        <w:rPr>
          <w:rFonts w:ascii="Calibri" w:eastAsia="Calibri" w:hAnsi="Calibri" w:cs="Calibri"/>
          <w:b/>
          <w:sz w:val="24"/>
          <w:szCs w:val="24"/>
        </w:rPr>
      </w:pPr>
    </w:p>
    <w:p w14:paraId="1B011DC7" w14:textId="77777777" w:rsidR="00421CB7" w:rsidRDefault="00421CB7">
      <w:pPr>
        <w:shd w:val="clear" w:color="auto" w:fill="FFFFFF"/>
        <w:jc w:val="center"/>
        <w:rPr>
          <w:rFonts w:ascii="Calibri" w:eastAsia="Calibri" w:hAnsi="Calibri" w:cs="Calibri"/>
          <w:b/>
          <w:sz w:val="24"/>
          <w:szCs w:val="24"/>
        </w:rPr>
      </w:pPr>
    </w:p>
    <w:p w14:paraId="773DF836" w14:textId="77777777" w:rsidR="00421CB7" w:rsidRDefault="00421CB7">
      <w:pPr>
        <w:shd w:val="clear" w:color="auto" w:fill="FFFFFF"/>
        <w:jc w:val="center"/>
        <w:rPr>
          <w:rFonts w:ascii="Calibri" w:eastAsia="Calibri" w:hAnsi="Calibri" w:cs="Calibri"/>
          <w:b/>
          <w:sz w:val="24"/>
          <w:szCs w:val="24"/>
        </w:rPr>
      </w:pPr>
    </w:p>
    <w:p w14:paraId="7AAEE0A7" w14:textId="77777777" w:rsidR="00421CB7" w:rsidRDefault="00421CB7">
      <w:pPr>
        <w:shd w:val="clear" w:color="auto" w:fill="FFFFFF"/>
        <w:jc w:val="center"/>
        <w:rPr>
          <w:rFonts w:ascii="Calibri" w:eastAsia="Calibri" w:hAnsi="Calibri" w:cs="Calibri"/>
          <w:b/>
          <w:sz w:val="24"/>
          <w:szCs w:val="24"/>
        </w:rPr>
      </w:pPr>
    </w:p>
    <w:p w14:paraId="2C95DF11" w14:textId="77777777" w:rsidR="00421CB7" w:rsidRDefault="00421CB7">
      <w:pPr>
        <w:shd w:val="clear" w:color="auto" w:fill="FFFFFF"/>
        <w:jc w:val="center"/>
        <w:rPr>
          <w:rFonts w:ascii="Calibri" w:eastAsia="Calibri" w:hAnsi="Calibri" w:cs="Calibri"/>
          <w:b/>
          <w:sz w:val="24"/>
          <w:szCs w:val="24"/>
        </w:rPr>
      </w:pPr>
    </w:p>
    <w:p w14:paraId="3EA8CC30" w14:textId="77777777" w:rsidR="00421CB7" w:rsidRDefault="00421CB7">
      <w:pPr>
        <w:shd w:val="clear" w:color="auto" w:fill="FFFFFF"/>
        <w:jc w:val="center"/>
        <w:rPr>
          <w:rFonts w:ascii="Calibri" w:eastAsia="Calibri" w:hAnsi="Calibri" w:cs="Calibri"/>
          <w:b/>
          <w:sz w:val="24"/>
          <w:szCs w:val="24"/>
        </w:rPr>
      </w:pPr>
    </w:p>
    <w:p w14:paraId="71DD6CAD" w14:textId="77777777" w:rsidR="00421CB7" w:rsidRDefault="00421CB7">
      <w:pPr>
        <w:shd w:val="clear" w:color="auto" w:fill="FFFFFF"/>
        <w:jc w:val="center"/>
        <w:rPr>
          <w:rFonts w:ascii="Calibri" w:eastAsia="Calibri" w:hAnsi="Calibri" w:cs="Calibri"/>
          <w:b/>
          <w:sz w:val="24"/>
          <w:szCs w:val="24"/>
        </w:rPr>
      </w:pPr>
    </w:p>
    <w:p w14:paraId="6393931D" w14:textId="6CAE32BD" w:rsidR="00F4617D" w:rsidRDefault="004F7252">
      <w:pP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Suggested Tweets for HIP Partners focused on the </w:t>
      </w:r>
    </w:p>
    <w:p w14:paraId="50CF1FA5" w14:textId="0B778C2D" w:rsidR="00F4617D" w:rsidRDefault="00D22B05" w:rsidP="00CD471A">
      <w:pPr>
        <w:shd w:val="clear" w:color="auto" w:fill="FFFFFF"/>
        <w:jc w:val="center"/>
        <w:rPr>
          <w:rFonts w:ascii="Calibri" w:eastAsia="Calibri" w:hAnsi="Calibri" w:cs="Calibri"/>
          <w:sz w:val="20"/>
          <w:szCs w:val="20"/>
        </w:rPr>
      </w:pPr>
      <w:hyperlink r:id="rId12" w:history="1">
        <w:r w:rsidR="00CD471A" w:rsidRPr="00995375">
          <w:rPr>
            <w:rStyle w:val="Hyperlink"/>
            <w:rFonts w:ascii="Calibri" w:eastAsia="Calibri" w:hAnsi="Calibri" w:cs="Calibri"/>
            <w:sz w:val="24"/>
            <w:szCs w:val="24"/>
          </w:rPr>
          <w:t>HIP Adolescent-Responsive Contraceptive Services brief</w:t>
        </w:r>
      </w:hyperlink>
    </w:p>
    <w:p w14:paraId="34FDDDD3" w14:textId="77777777" w:rsidR="00F4617D" w:rsidRDefault="004F7252">
      <w:pPr>
        <w:shd w:val="clear" w:color="auto" w:fill="FFFFFF"/>
        <w:jc w:val="center"/>
        <w:rPr>
          <w:rFonts w:ascii="Calibri" w:eastAsia="Calibri" w:hAnsi="Calibri" w:cs="Calibri"/>
          <w:sz w:val="17"/>
          <w:szCs w:val="17"/>
        </w:rPr>
      </w:pPr>
      <w:r>
        <w:rPr>
          <w:rFonts w:ascii="Calibri" w:eastAsia="Calibri" w:hAnsi="Calibri" w:cs="Calibri"/>
          <w:sz w:val="20"/>
          <w:szCs w:val="20"/>
        </w:rPr>
        <w:t xml:space="preserve">Quick Content! All Suggested Tweets Ready to be Posted </w:t>
      </w:r>
    </w:p>
    <w:p w14:paraId="0A33BC2D" w14:textId="77777777" w:rsidR="00F4617D" w:rsidRDefault="00F4617D">
      <w:pPr>
        <w:shd w:val="clear" w:color="auto" w:fill="FFFFFF"/>
        <w:rPr>
          <w:rFonts w:ascii="Calibri" w:eastAsia="Calibri" w:hAnsi="Calibri" w:cs="Calibri"/>
          <w:sz w:val="18"/>
          <w:szCs w:val="18"/>
        </w:rPr>
      </w:pPr>
    </w:p>
    <w:p w14:paraId="4BCC2091" w14:textId="4C64BA34" w:rsidR="00F4617D" w:rsidRDefault="004F7252" w:rsidP="00194F60">
      <w:pPr>
        <w:shd w:val="clear" w:color="auto" w:fill="FFFFFF"/>
        <w:rPr>
          <w:rFonts w:ascii="Calibri" w:eastAsia="Calibri" w:hAnsi="Calibri" w:cs="Calibri"/>
          <w:sz w:val="17"/>
          <w:szCs w:val="17"/>
        </w:rPr>
      </w:pPr>
      <w:r>
        <w:rPr>
          <w:rFonts w:ascii="Calibri" w:eastAsia="Calibri" w:hAnsi="Calibri" w:cs="Calibri"/>
          <w:b/>
        </w:rPr>
        <w:t>Tweet me!</w:t>
      </w:r>
    </w:p>
    <w:p w14:paraId="612D82AB" w14:textId="77777777" w:rsidR="000E5C1C" w:rsidRDefault="004F7252" w:rsidP="000E5C1C">
      <w:r>
        <w:rPr>
          <w:rFonts w:ascii="Calibri" w:eastAsia="Calibri" w:hAnsi="Calibri" w:cs="Calibri"/>
          <w:sz w:val="24"/>
          <w:szCs w:val="24"/>
        </w:rPr>
        <w:t xml:space="preserve"> </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E5C1C" w14:paraId="74D43CCE" w14:textId="77777777" w:rsidTr="000E5C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ABDB4" w14:textId="77777777" w:rsidR="000E5C1C" w:rsidRDefault="000E5C1C">
            <w:pPr>
              <w:pStyle w:val="NormalWeb"/>
              <w:spacing w:before="0" w:beforeAutospacing="0" w:after="0" w:afterAutospacing="0"/>
            </w:pPr>
            <w:r>
              <w:rPr>
                <w:rFonts w:ascii="Arial" w:hAnsi="Arial" w:cs="Arial"/>
                <w:color w:val="000000"/>
                <w:sz w:val="22"/>
                <w:szCs w:val="22"/>
              </w:rPr>
              <w:t xml:space="preserve">What does the evolution from </w:t>
            </w:r>
            <w:r>
              <w:rPr>
                <w:rFonts w:ascii="Arial" w:hAnsi="Arial" w:cs="Arial"/>
                <w:i/>
                <w:iCs/>
                <w:color w:val="000000"/>
                <w:sz w:val="22"/>
                <w:szCs w:val="22"/>
              </w:rPr>
              <w:t>adolescent-friendly</w:t>
            </w:r>
            <w:r>
              <w:rPr>
                <w:rFonts w:ascii="Arial" w:hAnsi="Arial" w:cs="Arial"/>
                <w:color w:val="000000"/>
                <w:sz w:val="22"/>
                <w:szCs w:val="22"/>
              </w:rPr>
              <w:t xml:space="preserve"> to </w:t>
            </w:r>
            <w:r>
              <w:rPr>
                <w:rFonts w:ascii="Arial" w:hAnsi="Arial" w:cs="Arial"/>
                <w:i/>
                <w:iCs/>
                <w:color w:val="000000"/>
                <w:sz w:val="22"/>
                <w:szCs w:val="22"/>
              </w:rPr>
              <w:t>adolescent-responsive contraceptive services</w:t>
            </w:r>
            <w:r>
              <w:rPr>
                <w:rFonts w:ascii="Arial" w:hAnsi="Arial" w:cs="Arial"/>
                <w:color w:val="000000"/>
                <w:sz w:val="22"/>
                <w:szCs w:val="22"/>
              </w:rPr>
              <w:t xml:space="preserve"> look like? Learn more at the newly published #HIPs4FP brief: </w:t>
            </w:r>
            <w:hyperlink r:id="rId13" w:history="1">
              <w:r>
                <w:rPr>
                  <w:rStyle w:val="Hyperlink"/>
                  <w:rFonts w:ascii="Arial" w:hAnsi="Arial" w:cs="Arial"/>
                  <w:color w:val="1155CC"/>
                  <w:sz w:val="22"/>
                  <w:szCs w:val="22"/>
                </w:rPr>
                <w:t>https://www.fphighimpactpractices.org/briefs/adolescent-responsive-contraceptive-services/</w:t>
              </w:r>
            </w:hyperlink>
            <w:r>
              <w:rPr>
                <w:rFonts w:ascii="Arial" w:hAnsi="Arial" w:cs="Arial"/>
                <w:color w:val="000000"/>
                <w:sz w:val="22"/>
                <w:szCs w:val="22"/>
              </w:rPr>
              <w:t> </w:t>
            </w:r>
          </w:p>
          <w:p w14:paraId="134C653B" w14:textId="06B8CC51" w:rsidR="000E5C1C" w:rsidRDefault="000E5C1C">
            <w:pPr>
              <w:pStyle w:val="NormalWeb"/>
              <w:spacing w:before="0" w:beforeAutospacing="0" w:after="0" w:afterAutospacing="0"/>
            </w:pPr>
            <w:r>
              <w:rPr>
                <w:rFonts w:ascii="Arial" w:hAnsi="Arial" w:cs="Arial"/>
                <w:noProof/>
                <w:color w:val="000000"/>
                <w:sz w:val="22"/>
                <w:szCs w:val="22"/>
                <w:bdr w:val="none" w:sz="0" w:space="0" w:color="auto" w:frame="1"/>
              </w:rPr>
              <w:drawing>
                <wp:inline distT="0" distB="0" distL="0" distR="0" wp14:anchorId="4A15CD94" wp14:editId="140B0B2F">
                  <wp:extent cx="4791075" cy="2695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1075" cy="2695575"/>
                          </a:xfrm>
                          <a:prstGeom prst="rect">
                            <a:avLst/>
                          </a:prstGeom>
                          <a:noFill/>
                          <a:ln>
                            <a:noFill/>
                          </a:ln>
                        </pic:spPr>
                      </pic:pic>
                    </a:graphicData>
                  </a:graphic>
                </wp:inline>
              </w:drawing>
            </w:r>
          </w:p>
        </w:tc>
      </w:tr>
      <w:tr w:rsidR="000E5C1C" w14:paraId="2BD692A8" w14:textId="77777777" w:rsidTr="000E5C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DA9C5" w14:textId="77777777" w:rsidR="000E5C1C" w:rsidRDefault="000E5C1C">
            <w:pPr>
              <w:pStyle w:val="NormalWeb"/>
              <w:spacing w:before="0" w:beforeAutospacing="0" w:after="0" w:afterAutospacing="0"/>
            </w:pPr>
            <w:r>
              <w:rPr>
                <w:rFonts w:ascii="Arial" w:hAnsi="Arial" w:cs="Arial"/>
                <w:color w:val="000000"/>
                <w:sz w:val="22"/>
                <w:szCs w:val="22"/>
              </w:rPr>
              <w:t xml:space="preserve">Did you know? Adolescent-responsive contraceptive services are deemed scalable &amp; sustainable in meeting adolescents’ needs for contraceptive info &amp; services. Learn more: </w:t>
            </w:r>
            <w:hyperlink r:id="rId15" w:history="1">
              <w:r>
                <w:rPr>
                  <w:rStyle w:val="Hyperlink"/>
                  <w:rFonts w:ascii="Arial" w:hAnsi="Arial" w:cs="Arial"/>
                  <w:color w:val="1155CC"/>
                  <w:sz w:val="22"/>
                  <w:szCs w:val="22"/>
                </w:rPr>
                <w:t>https://www.fphighimpactpractices.org/briefs/adolescent-responsive-contraceptive-services/</w:t>
              </w:r>
            </w:hyperlink>
            <w:r>
              <w:rPr>
                <w:rFonts w:ascii="Arial" w:hAnsi="Arial" w:cs="Arial"/>
                <w:color w:val="000000"/>
                <w:sz w:val="22"/>
                <w:szCs w:val="22"/>
              </w:rPr>
              <w:t>  #HIPs4FP</w:t>
            </w:r>
          </w:p>
        </w:tc>
      </w:tr>
      <w:tr w:rsidR="000E5C1C" w14:paraId="5B6AE321" w14:textId="77777777" w:rsidTr="000E5C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4F153" w14:textId="77777777" w:rsidR="000E5C1C" w:rsidRDefault="000E5C1C">
            <w:pPr>
              <w:pStyle w:val="NormalWeb"/>
              <w:spacing w:before="0" w:beforeAutospacing="0" w:after="0" w:afterAutospacing="0"/>
            </w:pPr>
            <w:r>
              <w:rPr>
                <w:rFonts w:ascii="Arial" w:hAnsi="Arial" w:cs="Arial"/>
                <w:color w:val="000000"/>
                <w:sz w:val="22"/>
                <w:szCs w:val="22"/>
              </w:rPr>
              <w:t xml:space="preserve">JUST RELEASED! The new adolescent #HIPs4FP Enhancement brief can be implemented in conjunction with other high-impact practices to further intensify their impact. Learn more: </w:t>
            </w:r>
            <w:hyperlink r:id="rId16" w:history="1">
              <w:r>
                <w:rPr>
                  <w:rStyle w:val="Hyperlink"/>
                  <w:rFonts w:ascii="Arial" w:hAnsi="Arial" w:cs="Arial"/>
                  <w:color w:val="1155CC"/>
                  <w:sz w:val="22"/>
                  <w:szCs w:val="22"/>
                </w:rPr>
                <w:t>https://www.fphighimpactpractices.org/briefs/adolescent-responsive-contraceptive-services/</w:t>
              </w:r>
            </w:hyperlink>
            <w:r>
              <w:rPr>
                <w:rFonts w:ascii="Arial" w:hAnsi="Arial" w:cs="Arial"/>
                <w:color w:val="000000"/>
                <w:sz w:val="22"/>
                <w:szCs w:val="22"/>
              </w:rPr>
              <w:t>  </w:t>
            </w:r>
          </w:p>
        </w:tc>
      </w:tr>
      <w:tr w:rsidR="000E5C1C" w14:paraId="2381E298" w14:textId="77777777" w:rsidTr="000E5C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84AFF" w14:textId="1AE8E5EF" w:rsidR="000E5C1C" w:rsidRDefault="000E5C1C">
            <w:pPr>
              <w:pStyle w:val="NormalWeb"/>
              <w:spacing w:before="0" w:beforeAutospacing="0" w:after="0" w:afterAutospacing="0"/>
            </w:pPr>
            <w:r>
              <w:rPr>
                <w:rFonts w:ascii="Arial" w:hAnsi="Arial" w:cs="Arial"/>
                <w:color w:val="000000"/>
                <w:sz w:val="22"/>
                <w:szCs w:val="22"/>
              </w:rPr>
              <w:t xml:space="preserve">Adolescents face many barriers in accessing contraceptive services. Health systems must institutionalize service delivery that acknowledges them as distinct from other groups. Learn more about the adolescent-responsive approach in the #HIPs4FP brief. </w:t>
            </w:r>
            <w:hyperlink r:id="rId17" w:history="1">
              <w:r>
                <w:rPr>
                  <w:rStyle w:val="Hyperlink"/>
                  <w:rFonts w:ascii="Arial" w:hAnsi="Arial" w:cs="Arial"/>
                  <w:color w:val="1155CC"/>
                  <w:sz w:val="22"/>
                  <w:szCs w:val="22"/>
                </w:rPr>
                <w:t>https://www.fphighimpactpractices.org/briefs/adolescent-responsive-contraceptive-services/</w:t>
              </w:r>
            </w:hyperlink>
            <w:r>
              <w:rPr>
                <w:rFonts w:ascii="Arial" w:hAnsi="Arial" w:cs="Arial"/>
                <w:color w:val="000000"/>
                <w:sz w:val="22"/>
                <w:szCs w:val="22"/>
              </w:rPr>
              <w:t> </w:t>
            </w:r>
          </w:p>
        </w:tc>
      </w:tr>
      <w:tr w:rsidR="000E5C1C" w14:paraId="1F964FD8" w14:textId="77777777" w:rsidTr="000E5C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E9F69" w14:textId="77777777" w:rsidR="000E5C1C" w:rsidRDefault="000E5C1C">
            <w:pPr>
              <w:pStyle w:val="NormalWeb"/>
              <w:spacing w:before="0" w:beforeAutospacing="0" w:after="0" w:afterAutospacing="0"/>
            </w:pPr>
            <w:r>
              <w:rPr>
                <w:rFonts w:ascii="Arial" w:hAnsi="Arial" w:cs="Arial"/>
                <w:color w:val="000000"/>
                <w:sz w:val="22"/>
                <w:szCs w:val="22"/>
              </w:rPr>
              <w:t xml:space="preserve">Ethiopia &amp; Chile have taken actions to improve adolescent contraceptive use through adolescent-responsive contraceptive services and are showing promising results. Find out more about those specific actions in the updated #HIPs4FP brief. </w:t>
            </w:r>
            <w:hyperlink r:id="rId18" w:history="1">
              <w:r>
                <w:rPr>
                  <w:rStyle w:val="Hyperlink"/>
                  <w:rFonts w:ascii="Arial" w:hAnsi="Arial" w:cs="Arial"/>
                  <w:color w:val="1155CC"/>
                  <w:sz w:val="22"/>
                  <w:szCs w:val="22"/>
                </w:rPr>
                <w:t>https://www.fphighimpactpractices.org/briefs/adolescent-responsive-contraceptive-services/</w:t>
              </w:r>
            </w:hyperlink>
            <w:r>
              <w:rPr>
                <w:rFonts w:ascii="Arial" w:hAnsi="Arial" w:cs="Arial"/>
                <w:color w:val="000000"/>
                <w:sz w:val="22"/>
                <w:szCs w:val="22"/>
              </w:rPr>
              <w:t> </w:t>
            </w:r>
          </w:p>
        </w:tc>
      </w:tr>
      <w:tr w:rsidR="000E5C1C" w14:paraId="7EF79FC8" w14:textId="77777777" w:rsidTr="000E5C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1DCFF" w14:textId="77777777" w:rsidR="000E5C1C" w:rsidRDefault="000E5C1C">
            <w:pPr>
              <w:pStyle w:val="NormalWeb"/>
              <w:spacing w:before="0" w:beforeAutospacing="0" w:after="0" w:afterAutospacing="0"/>
            </w:pPr>
            <w:r>
              <w:rPr>
                <w:rFonts w:ascii="Arial" w:hAnsi="Arial" w:cs="Arial"/>
                <w:color w:val="000000"/>
                <w:sz w:val="22"/>
                <w:szCs w:val="22"/>
              </w:rPr>
              <w:lastRenderedPageBreak/>
              <w:t xml:space="preserve">Need tips to understand how to implement adolescent-responsive contraceptive services in your program? Come check out the newly updated #HIPs4FP brief. </w:t>
            </w:r>
            <w:hyperlink r:id="rId19" w:history="1">
              <w:r>
                <w:rPr>
                  <w:rStyle w:val="Hyperlink"/>
                  <w:rFonts w:ascii="Arial" w:hAnsi="Arial" w:cs="Arial"/>
                  <w:color w:val="1155CC"/>
                  <w:sz w:val="22"/>
                  <w:szCs w:val="22"/>
                </w:rPr>
                <w:t>https://www.fphighimpactpractices.org/briefs/adolescent-responsive-contraceptive-services/</w:t>
              </w:r>
            </w:hyperlink>
            <w:r>
              <w:rPr>
                <w:rFonts w:ascii="Arial" w:hAnsi="Arial" w:cs="Arial"/>
                <w:color w:val="000000"/>
                <w:sz w:val="22"/>
                <w:szCs w:val="22"/>
              </w:rPr>
              <w:t> </w:t>
            </w:r>
          </w:p>
          <w:p w14:paraId="65080012" w14:textId="6CA5872F" w:rsidR="000E5C1C" w:rsidRDefault="000E5C1C">
            <w:pPr>
              <w:pStyle w:val="NormalWeb"/>
              <w:spacing w:before="0" w:beforeAutospacing="0" w:after="0" w:afterAutospacing="0"/>
            </w:pPr>
            <w:r>
              <w:rPr>
                <w:rFonts w:ascii="Arial" w:hAnsi="Arial" w:cs="Arial"/>
                <w:noProof/>
                <w:color w:val="000000"/>
                <w:sz w:val="22"/>
                <w:szCs w:val="22"/>
                <w:bdr w:val="none" w:sz="0" w:space="0" w:color="auto" w:frame="1"/>
              </w:rPr>
              <w:drawing>
                <wp:inline distT="0" distB="0" distL="0" distR="0" wp14:anchorId="417C8600" wp14:editId="6F997189">
                  <wp:extent cx="5810250" cy="3267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0" cy="3267075"/>
                          </a:xfrm>
                          <a:prstGeom prst="rect">
                            <a:avLst/>
                          </a:prstGeom>
                          <a:noFill/>
                          <a:ln>
                            <a:noFill/>
                          </a:ln>
                        </pic:spPr>
                      </pic:pic>
                    </a:graphicData>
                  </a:graphic>
                </wp:inline>
              </w:drawing>
            </w:r>
          </w:p>
        </w:tc>
      </w:tr>
    </w:tbl>
    <w:p w14:paraId="1E202462" w14:textId="7CB9B569" w:rsidR="00F4617D" w:rsidRDefault="00F4617D" w:rsidP="000E5C1C">
      <w:pPr>
        <w:ind w:left="720"/>
        <w:rPr>
          <w:rFonts w:ascii="Calibri" w:eastAsia="Calibri" w:hAnsi="Calibri" w:cs="Calibri"/>
          <w:sz w:val="24"/>
          <w:szCs w:val="24"/>
        </w:rPr>
      </w:pPr>
    </w:p>
    <w:sectPr w:rsidR="00F4617D">
      <w:head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AAE4A" w14:textId="77777777" w:rsidR="00DE5BBF" w:rsidRDefault="00DE5BBF">
      <w:pPr>
        <w:spacing w:line="240" w:lineRule="auto"/>
      </w:pPr>
      <w:r>
        <w:separator/>
      </w:r>
    </w:p>
  </w:endnote>
  <w:endnote w:type="continuationSeparator" w:id="0">
    <w:p w14:paraId="0717C2B2" w14:textId="77777777" w:rsidR="00DE5BBF" w:rsidRDefault="00DE5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DFCB0" w14:textId="77777777" w:rsidR="00DE5BBF" w:rsidRDefault="00DE5BBF">
      <w:pPr>
        <w:spacing w:line="240" w:lineRule="auto"/>
      </w:pPr>
      <w:r>
        <w:separator/>
      </w:r>
    </w:p>
  </w:footnote>
  <w:footnote w:type="continuationSeparator" w:id="0">
    <w:p w14:paraId="1C6EB236" w14:textId="77777777" w:rsidR="00DE5BBF" w:rsidRDefault="00DE5B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3E686" w14:textId="77777777" w:rsidR="00F4617D" w:rsidRDefault="00F461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47D2D"/>
    <w:multiLevelType w:val="hybridMultilevel"/>
    <w:tmpl w:val="F4CAA5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 w15:restartNumberingAfterBreak="0">
    <w:nsid w:val="5D5B4089"/>
    <w:multiLevelType w:val="multilevel"/>
    <w:tmpl w:val="036A5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D479F0"/>
    <w:multiLevelType w:val="multilevel"/>
    <w:tmpl w:val="629C6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17D"/>
    <w:rsid w:val="000E5C1C"/>
    <w:rsid w:val="00194F60"/>
    <w:rsid w:val="00195829"/>
    <w:rsid w:val="0019796D"/>
    <w:rsid w:val="00225BF8"/>
    <w:rsid w:val="00237E85"/>
    <w:rsid w:val="003048A9"/>
    <w:rsid w:val="00344A3D"/>
    <w:rsid w:val="003D3206"/>
    <w:rsid w:val="00412979"/>
    <w:rsid w:val="00421CB7"/>
    <w:rsid w:val="004568DA"/>
    <w:rsid w:val="004F7252"/>
    <w:rsid w:val="00583BCD"/>
    <w:rsid w:val="005D1734"/>
    <w:rsid w:val="00660E89"/>
    <w:rsid w:val="006A5177"/>
    <w:rsid w:val="008A59EC"/>
    <w:rsid w:val="008F5399"/>
    <w:rsid w:val="00995375"/>
    <w:rsid w:val="00B77566"/>
    <w:rsid w:val="00C84637"/>
    <w:rsid w:val="00CD471A"/>
    <w:rsid w:val="00D22B05"/>
    <w:rsid w:val="00DB6C3B"/>
    <w:rsid w:val="00DE5BBF"/>
    <w:rsid w:val="00EF6ACC"/>
    <w:rsid w:val="00F34787"/>
    <w:rsid w:val="00F4617D"/>
    <w:rsid w:val="00F8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0D56"/>
  <w15:docId w15:val="{7FD4090A-9DD3-4BE2-9E1A-73DE6951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04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8A9"/>
    <w:rPr>
      <w:rFonts w:ascii="Segoe UI" w:hAnsi="Segoe UI" w:cs="Segoe UI"/>
      <w:sz w:val="18"/>
      <w:szCs w:val="18"/>
    </w:rPr>
  </w:style>
  <w:style w:type="character" w:styleId="Hyperlink">
    <w:name w:val="Hyperlink"/>
    <w:basedOn w:val="DefaultParagraphFont"/>
    <w:uiPriority w:val="99"/>
    <w:unhideWhenUsed/>
    <w:rsid w:val="00F86CB9"/>
    <w:rPr>
      <w:color w:val="0000FF" w:themeColor="hyperlink"/>
      <w:u w:val="single"/>
    </w:rPr>
  </w:style>
  <w:style w:type="character" w:styleId="UnresolvedMention">
    <w:name w:val="Unresolved Mention"/>
    <w:basedOn w:val="DefaultParagraphFont"/>
    <w:uiPriority w:val="99"/>
    <w:semiHidden/>
    <w:unhideWhenUsed/>
    <w:rsid w:val="00F86CB9"/>
    <w:rPr>
      <w:color w:val="605E5C"/>
      <w:shd w:val="clear" w:color="auto" w:fill="E1DFDD"/>
    </w:rPr>
  </w:style>
  <w:style w:type="paragraph" w:styleId="ListParagraph">
    <w:name w:val="List Paragraph"/>
    <w:aliases w:val="MAIN CONTENT,List Paragraph2,Normal numbered,List Paragraph12,Bullet Style,Párrafo de lista,Recommendation,Normal numbere,Dot pt,F5 List Paragraph,List Paragraph1,No Spacing1,List Paragraph Char Char Char,Indicator Text,Numbered Para 1"/>
    <w:basedOn w:val="Normal"/>
    <w:link w:val="ListParagraphChar"/>
    <w:uiPriority w:val="34"/>
    <w:qFormat/>
    <w:rsid w:val="00CD471A"/>
    <w:pPr>
      <w:ind w:left="720"/>
      <w:contextualSpacing/>
    </w:pPr>
  </w:style>
  <w:style w:type="character" w:customStyle="1" w:styleId="ListParagraphChar">
    <w:name w:val="List Paragraph Char"/>
    <w:aliases w:val="MAIN CONTENT Char,List Paragraph2 Char,Normal numbered Char,List Paragraph12 Char,Bullet Style Char,Párrafo de lista Char,Recommendation Char,Normal numbere Char,Dot pt Char,F5 List Paragraph Char,List Paragraph1 Char"/>
    <w:basedOn w:val="DefaultParagraphFont"/>
    <w:link w:val="ListParagraph"/>
    <w:uiPriority w:val="34"/>
    <w:locked/>
    <w:rsid w:val="00660E89"/>
  </w:style>
  <w:style w:type="paragraph" w:styleId="NormalWeb">
    <w:name w:val="Normal (Web)"/>
    <w:basedOn w:val="Normal"/>
    <w:uiPriority w:val="99"/>
    <w:semiHidden/>
    <w:unhideWhenUsed/>
    <w:rsid w:val="000E5C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22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11246">
      <w:bodyDiv w:val="1"/>
      <w:marLeft w:val="0"/>
      <w:marRight w:val="0"/>
      <w:marTop w:val="0"/>
      <w:marBottom w:val="0"/>
      <w:divBdr>
        <w:top w:val="none" w:sz="0" w:space="0" w:color="auto"/>
        <w:left w:val="none" w:sz="0" w:space="0" w:color="auto"/>
        <w:bottom w:val="none" w:sz="0" w:space="0" w:color="auto"/>
        <w:right w:val="none" w:sz="0" w:space="0" w:color="auto"/>
      </w:divBdr>
    </w:div>
    <w:div w:id="553739908">
      <w:bodyDiv w:val="1"/>
      <w:marLeft w:val="0"/>
      <w:marRight w:val="0"/>
      <w:marTop w:val="0"/>
      <w:marBottom w:val="0"/>
      <w:divBdr>
        <w:top w:val="none" w:sz="0" w:space="0" w:color="auto"/>
        <w:left w:val="none" w:sz="0" w:space="0" w:color="auto"/>
        <w:bottom w:val="none" w:sz="0" w:space="0" w:color="auto"/>
        <w:right w:val="none" w:sz="0" w:space="0" w:color="auto"/>
      </w:divBdr>
    </w:div>
    <w:div w:id="623928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phighimpactpractices.org/briefs/adolescent-responsive-contraceptive-services/" TargetMode="External"/><Relationship Id="rId13" Type="http://schemas.openxmlformats.org/officeDocument/2006/relationships/hyperlink" Target="https://www.fphighimpactpractices.org/briefs/adolescent-responsive-contraceptive-services/" TargetMode="External"/><Relationship Id="rId18" Type="http://schemas.openxmlformats.org/officeDocument/2006/relationships/hyperlink" Target="https://www.fphighimpactpractices.org/briefs/adolescent-responsive-contraceptive-servic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fphighimpactpractices.org/briefs/adolescent-responsive-contraceptive-services/" TargetMode="External"/><Relationship Id="rId17" Type="http://schemas.openxmlformats.org/officeDocument/2006/relationships/hyperlink" Target="https://www.fphighimpactpractices.org/briefs/adolescent-responsive-contraceptive-services/" TargetMode="External"/><Relationship Id="rId2" Type="http://schemas.openxmlformats.org/officeDocument/2006/relationships/styles" Target="styles.xml"/><Relationship Id="rId16" Type="http://schemas.openxmlformats.org/officeDocument/2006/relationships/hyperlink" Target="https://www.fphighimpactpractices.org/briefs/adolescent-responsive-contraceptive-services/"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phighimpactpractices.org/briefs/adolescent-responsive-contraceptive-services/" TargetMode="External"/><Relationship Id="rId5" Type="http://schemas.openxmlformats.org/officeDocument/2006/relationships/footnotes" Target="footnotes.xml"/><Relationship Id="rId15" Type="http://schemas.openxmlformats.org/officeDocument/2006/relationships/hyperlink" Target="https://www.fphighimpactpractices.org/briefs/adolescent-responsive-contraceptive-services/" TargetMode="External"/><Relationship Id="rId23" Type="http://schemas.openxmlformats.org/officeDocument/2006/relationships/theme" Target="theme/theme1.xml"/><Relationship Id="rId10" Type="http://schemas.openxmlformats.org/officeDocument/2006/relationships/hyperlink" Target="https://www.fphighimpactpractices.org?utm_source=ListservEmails&amp;utm_medium=Email&amp;utm_campaign=MassMediaBriefPromtion" TargetMode="External"/><Relationship Id="rId19" Type="http://schemas.openxmlformats.org/officeDocument/2006/relationships/hyperlink" Target="https://www.fphighimpactpractices.org/briefs/adolescent-responsive-contraceptive-services/" TargetMode="External"/><Relationship Id="rId4" Type="http://schemas.openxmlformats.org/officeDocument/2006/relationships/webSettings" Target="webSettings.xml"/><Relationship Id="rId9" Type="http://schemas.openxmlformats.org/officeDocument/2006/relationships/hyperlink" Target="https://www.fphighimpactpractices.org/briefs/adolescent-responsive-contraceptive-services/"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1072</Words>
  <Characters>6112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Raney</cp:lastModifiedBy>
  <cp:revision>2</cp:revision>
  <dcterms:created xsi:type="dcterms:W3CDTF">2021-03-23T18:46:00Z</dcterms:created>
  <dcterms:modified xsi:type="dcterms:W3CDTF">2021-03-23T18:46:00Z</dcterms:modified>
</cp:coreProperties>
</file>